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189A" w14:textId="0E153BE2" w:rsidR="00EE08FE" w:rsidRPr="000C5CC5" w:rsidRDefault="004E12E2" w:rsidP="00EE08FE">
      <w:pPr>
        <w:pStyle w:val="1"/>
        <w:rPr>
          <w:sz w:val="22"/>
          <w:u w:val="single"/>
        </w:rPr>
      </w:pPr>
      <w:r w:rsidRPr="00DE51CC">
        <w:rPr>
          <w:rFonts w:ascii="微軟正黑體" w:eastAsia="微軟正黑體" w:hAnsi="微軟正黑體" w:hint="eastAsia"/>
          <w:b/>
          <w:szCs w:val="28"/>
        </w:rPr>
        <w:t>109 學年度 第</w:t>
      </w:r>
      <w:r>
        <w:rPr>
          <w:rFonts w:ascii="微軟正黑體" w:eastAsia="微軟正黑體" w:hAnsi="微軟正黑體" w:hint="eastAsia"/>
          <w:b/>
          <w:szCs w:val="28"/>
        </w:rPr>
        <w:t>二</w:t>
      </w:r>
      <w:r w:rsidRPr="00DE51CC">
        <w:rPr>
          <w:rFonts w:ascii="微軟正黑體" w:eastAsia="微軟正黑體" w:hAnsi="微軟正黑體" w:hint="eastAsia"/>
          <w:b/>
          <w:szCs w:val="28"/>
        </w:rPr>
        <w:t>學期 嘉義縣豐山實驗教育學校</w:t>
      </w:r>
      <w:r>
        <w:rPr>
          <w:rFonts w:ascii="微軟正黑體" w:eastAsia="微軟正黑體" w:hAnsi="微軟正黑體" w:hint="eastAsia"/>
          <w:b/>
          <w:szCs w:val="28"/>
        </w:rPr>
        <w:t xml:space="preserve"> </w:t>
      </w:r>
      <w:r w:rsidRPr="00DE51CC">
        <w:rPr>
          <w:rFonts w:ascii="微軟正黑體" w:eastAsia="微軟正黑體" w:hAnsi="微軟正黑體" w:hint="eastAsia"/>
          <w:b/>
          <w:szCs w:val="28"/>
        </w:rPr>
        <w:t>八年級</w:t>
      </w:r>
      <w:r>
        <w:rPr>
          <w:rFonts w:ascii="微軟正黑體" w:eastAsia="微軟正黑體" w:hAnsi="微軟正黑體" w:hint="eastAsia"/>
          <w:b/>
          <w:szCs w:val="28"/>
        </w:rPr>
        <w:t xml:space="preserve"> </w:t>
      </w:r>
      <w:r w:rsidRPr="00DE51CC">
        <w:rPr>
          <w:rFonts w:ascii="微軟正黑體" w:eastAsia="微軟正黑體" w:hAnsi="微軟正黑體" w:hint="eastAsia"/>
          <w:b/>
          <w:snapToGrid w:val="0"/>
          <w:kern w:val="0"/>
          <w:szCs w:val="28"/>
        </w:rPr>
        <w:t>自然科學</w:t>
      </w:r>
      <w:r w:rsidRPr="00DE51CC">
        <w:rPr>
          <w:rFonts w:ascii="微軟正黑體" w:eastAsia="微軟正黑體" w:hAnsi="微軟正黑體" w:hint="eastAsia"/>
          <w:b/>
          <w:szCs w:val="28"/>
        </w:rPr>
        <w:t>領域</w:t>
      </w:r>
      <w:r w:rsidRPr="00DE51CC">
        <w:rPr>
          <w:rFonts w:ascii="微軟正黑體" w:eastAsia="微軟正黑體" w:hAnsi="微軟正黑體" w:hint="eastAsia"/>
          <w:b/>
          <w:szCs w:val="28"/>
          <w:lang w:eastAsia="zh-HK"/>
        </w:rPr>
        <w:t>課程</w:t>
      </w:r>
      <w:r w:rsidRPr="00DE51CC">
        <w:rPr>
          <w:rFonts w:ascii="微軟正黑體" w:eastAsia="微軟正黑體" w:hAnsi="微軟正黑體" w:hint="eastAsia"/>
          <w:b/>
          <w:szCs w:val="28"/>
        </w:rPr>
        <w:t>計畫表</w:t>
      </w:r>
      <w:r w:rsidR="00EE08FE" w:rsidRPr="000C5CC5">
        <w:rPr>
          <w:rFonts w:hint="eastAsia"/>
        </w:rPr>
        <w:t xml:space="preserve">  </w:t>
      </w:r>
      <w:r w:rsidR="005113CB" w:rsidRPr="00612E88">
        <w:rPr>
          <w:rFonts w:hint="eastAsia"/>
          <w:sz w:val="24"/>
          <w:szCs w:val="18"/>
        </w:rPr>
        <w:t>教科書版本：康軒</w:t>
      </w:r>
      <w:bookmarkStart w:id="0" w:name="_GoBack"/>
      <w:bookmarkEnd w:id="0"/>
    </w:p>
    <w:p w14:paraId="33DA9D52" w14:textId="77777777" w:rsidR="00E2349C" w:rsidRDefault="005256D5" w:rsidP="00996427">
      <w:pPr>
        <w:pStyle w:val="1"/>
        <w:ind w:right="57"/>
        <w:jc w:val="both"/>
        <w:rPr>
          <w:rFonts w:ascii="標楷體" w:eastAsia="新細明體"/>
          <w:sz w:val="22"/>
        </w:rPr>
      </w:pPr>
      <w:r>
        <w:rPr>
          <w:rFonts w:ascii="標楷體" w:eastAsia="新細明體" w:hint="eastAsia"/>
          <w:sz w:val="22"/>
          <w:lang w:eastAsia="zh-HK"/>
        </w:rPr>
        <w:t>一</w:t>
      </w:r>
      <w:r>
        <w:rPr>
          <w:rFonts w:ascii="標楷體" w:eastAsia="新細明體" w:hint="eastAsia"/>
          <w:sz w:val="22"/>
        </w:rPr>
        <w:t>、</w:t>
      </w:r>
      <w:r w:rsidR="00E2349C" w:rsidRPr="00225BAC">
        <w:rPr>
          <w:rFonts w:ascii="標楷體" w:eastAsia="新細明體" w:hint="eastAsia"/>
          <w:sz w:val="22"/>
        </w:rPr>
        <w:t>學習總目標：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7662"/>
      </w:tblGrid>
      <w:tr w:rsidR="00766369" w:rsidRPr="00FE08F5" w14:paraId="46F3199D" w14:textId="77777777" w:rsidTr="00DD145D">
        <w:trPr>
          <w:tblHeader/>
        </w:trPr>
        <w:tc>
          <w:tcPr>
            <w:tcW w:w="7938" w:type="dxa"/>
            <w:shd w:val="clear" w:color="auto" w:fill="auto"/>
          </w:tcPr>
          <w:p w14:paraId="64D2104E" w14:textId="77777777" w:rsidR="00766369" w:rsidRPr="00FE08F5" w:rsidRDefault="00766369" w:rsidP="00DD145D">
            <w:pPr>
              <w:pStyle w:val="1"/>
              <w:ind w:left="915" w:right="57"/>
              <w:rPr>
                <w:rFonts w:ascii="新細明體" w:eastAsia="新細明體" w:hAnsi="新細明體"/>
                <w:sz w:val="22"/>
              </w:rPr>
            </w:pPr>
            <w:r w:rsidRPr="00FE08F5">
              <w:rPr>
                <w:rFonts w:ascii="新細明體" w:eastAsia="新細明體" w:hAnsi="新細明體" w:hint="eastAsia"/>
                <w:sz w:val="22"/>
                <w:lang w:eastAsia="zh-HK"/>
              </w:rPr>
              <w:t>教學目標</w:t>
            </w:r>
          </w:p>
        </w:tc>
        <w:tc>
          <w:tcPr>
            <w:tcW w:w="7938" w:type="dxa"/>
            <w:shd w:val="clear" w:color="auto" w:fill="auto"/>
          </w:tcPr>
          <w:p w14:paraId="69C85F0B" w14:textId="77777777" w:rsidR="00766369" w:rsidRPr="00FE08F5" w:rsidRDefault="00766369" w:rsidP="00DD145D">
            <w:pPr>
              <w:pStyle w:val="1"/>
              <w:ind w:left="915" w:right="57"/>
              <w:rPr>
                <w:rFonts w:ascii="新細明體" w:eastAsia="新細明體" w:hAnsi="新細明體"/>
                <w:sz w:val="22"/>
              </w:rPr>
            </w:pPr>
            <w:r w:rsidRPr="00FE08F5">
              <w:rPr>
                <w:rFonts w:ascii="新細明體" w:eastAsia="新細明體" w:hAnsi="新細明體" w:hint="eastAsia"/>
                <w:sz w:val="22"/>
                <w:lang w:eastAsia="zh-HK"/>
              </w:rPr>
              <w:t>本冊架構</w:t>
            </w:r>
          </w:p>
        </w:tc>
      </w:tr>
      <w:tr w:rsidR="00766369" w:rsidRPr="00FE08F5" w14:paraId="123F57DA" w14:textId="77777777" w:rsidTr="00005F44">
        <w:tc>
          <w:tcPr>
            <w:tcW w:w="7938" w:type="dxa"/>
            <w:shd w:val="clear" w:color="auto" w:fill="auto"/>
          </w:tcPr>
          <w:p w14:paraId="772A7619" w14:textId="77777777" w:rsidR="00766369" w:rsidRPr="00580BB6" w:rsidRDefault="00766369" w:rsidP="00DD145D">
            <w:pPr>
              <w:pStyle w:val="1"/>
              <w:jc w:val="left"/>
              <w:rPr>
                <w:rFonts w:ascii="新細明體" w:eastAsia="新細明體" w:hAnsi="新細明體"/>
                <w:color w:val="000000"/>
                <w:sz w:val="22"/>
                <w:szCs w:val="22"/>
              </w:rPr>
            </w:pPr>
            <w:r w:rsidRPr="00580BB6">
              <w:rPr>
                <w:rFonts w:ascii="新細明體" w:eastAsia="新細明體" w:hAnsi="新細明體"/>
                <w:color w:val="000000"/>
                <w:sz w:val="22"/>
                <w:szCs w:val="22"/>
              </w:rPr>
              <w:t>1.</w:t>
            </w:r>
            <w:r>
              <w:rPr>
                <w:rFonts w:ascii="新細明體" w:eastAsia="新細明體" w:hAnsi="新細明體" w:hint="eastAsia"/>
                <w:color w:val="000000"/>
                <w:sz w:val="22"/>
                <w:szCs w:val="22"/>
              </w:rPr>
              <w:t>了</w:t>
            </w:r>
            <w:r w:rsidRPr="00580BB6">
              <w:rPr>
                <w:rFonts w:ascii="新細明體" w:eastAsia="新細明體" w:hAnsi="新細明體" w:hint="eastAsia"/>
                <w:color w:val="000000"/>
                <w:sz w:val="22"/>
                <w:szCs w:val="22"/>
              </w:rPr>
              <w:t>解化學反應的內涵與其重要相關學說。</w:t>
            </w:r>
          </w:p>
          <w:p w14:paraId="330183A9" w14:textId="77777777" w:rsidR="00766369" w:rsidRPr="00580BB6" w:rsidRDefault="00766369" w:rsidP="00DD145D">
            <w:pPr>
              <w:pStyle w:val="1"/>
              <w:jc w:val="left"/>
              <w:rPr>
                <w:rFonts w:ascii="新細明體" w:eastAsia="新細明體" w:hAnsi="新細明體"/>
                <w:color w:val="000000"/>
                <w:sz w:val="22"/>
                <w:szCs w:val="22"/>
              </w:rPr>
            </w:pPr>
            <w:r w:rsidRPr="00580BB6">
              <w:rPr>
                <w:rFonts w:ascii="新細明體" w:eastAsia="新細明體" w:hAnsi="新細明體"/>
                <w:color w:val="000000"/>
                <w:sz w:val="22"/>
                <w:szCs w:val="22"/>
              </w:rPr>
              <w:t>2.</w:t>
            </w:r>
            <w:r w:rsidRPr="00580BB6">
              <w:rPr>
                <w:rFonts w:ascii="新細明體" w:eastAsia="新細明體" w:hAnsi="新細明體" w:hint="eastAsia"/>
                <w:color w:val="000000"/>
                <w:sz w:val="22"/>
                <w:szCs w:val="22"/>
              </w:rPr>
              <w:t>認識氧化與還原反應及應用。</w:t>
            </w:r>
          </w:p>
          <w:p w14:paraId="5C24B77F" w14:textId="77777777" w:rsidR="00766369" w:rsidRPr="00580BB6" w:rsidRDefault="00766369" w:rsidP="00DD145D">
            <w:pPr>
              <w:pStyle w:val="1"/>
              <w:jc w:val="left"/>
              <w:rPr>
                <w:rFonts w:ascii="新細明體" w:eastAsia="新細明體" w:hAnsi="新細明體"/>
                <w:color w:val="000000"/>
                <w:sz w:val="22"/>
                <w:szCs w:val="22"/>
              </w:rPr>
            </w:pPr>
            <w:r w:rsidRPr="00580BB6">
              <w:rPr>
                <w:rFonts w:ascii="新細明體" w:eastAsia="新細明體" w:hAnsi="新細明體"/>
                <w:color w:val="000000"/>
                <w:sz w:val="22"/>
                <w:szCs w:val="22"/>
              </w:rPr>
              <w:t>3.</w:t>
            </w:r>
            <w:r w:rsidRPr="00580BB6">
              <w:rPr>
                <w:rFonts w:ascii="新細明體" w:eastAsia="新細明體" w:hAnsi="新細明體" w:hint="eastAsia"/>
                <w:color w:val="000000"/>
                <w:sz w:val="22"/>
                <w:szCs w:val="22"/>
              </w:rPr>
              <w:t>知道酸鹼鹽等物質的性質及其在生活中的應用。</w:t>
            </w:r>
          </w:p>
          <w:p w14:paraId="07A05975" w14:textId="77777777" w:rsidR="00766369" w:rsidRPr="00580BB6" w:rsidRDefault="00766369" w:rsidP="00DD145D">
            <w:pPr>
              <w:pStyle w:val="1"/>
              <w:jc w:val="left"/>
              <w:rPr>
                <w:rFonts w:ascii="新細明體" w:eastAsia="新細明體" w:hAnsi="新細明體"/>
                <w:color w:val="000000"/>
                <w:sz w:val="22"/>
                <w:szCs w:val="22"/>
              </w:rPr>
            </w:pPr>
            <w:r w:rsidRPr="00580BB6">
              <w:rPr>
                <w:rFonts w:ascii="新細明體" w:eastAsia="新細明體" w:hAnsi="新細明體" w:hint="eastAsia"/>
                <w:color w:val="000000"/>
                <w:sz w:val="22"/>
                <w:szCs w:val="22"/>
              </w:rPr>
              <w:t>4.學習反應速率與平衡。</w:t>
            </w:r>
          </w:p>
          <w:p w14:paraId="2D949A92" w14:textId="77777777" w:rsidR="00766369" w:rsidRPr="00580BB6" w:rsidRDefault="00766369" w:rsidP="00DD145D">
            <w:pPr>
              <w:pStyle w:val="1"/>
              <w:jc w:val="left"/>
              <w:rPr>
                <w:rFonts w:ascii="新細明體" w:eastAsia="新細明體" w:hAnsi="新細明體"/>
                <w:color w:val="000000"/>
                <w:sz w:val="22"/>
                <w:szCs w:val="22"/>
              </w:rPr>
            </w:pPr>
            <w:r w:rsidRPr="00580BB6">
              <w:rPr>
                <w:rFonts w:ascii="新細明體" w:eastAsia="新細明體" w:hAnsi="新細明體" w:hint="eastAsia"/>
                <w:color w:val="000000"/>
                <w:sz w:val="22"/>
                <w:szCs w:val="22"/>
              </w:rPr>
              <w:t>5</w:t>
            </w:r>
            <w:r w:rsidRPr="00580BB6">
              <w:rPr>
                <w:rFonts w:ascii="新細明體" w:eastAsia="新細明體" w:hAnsi="新細明體"/>
                <w:color w:val="000000"/>
                <w:sz w:val="22"/>
                <w:szCs w:val="22"/>
              </w:rPr>
              <w:t>.</w:t>
            </w:r>
            <w:r w:rsidRPr="00580BB6">
              <w:rPr>
                <w:rFonts w:ascii="新細明體" w:eastAsia="新細明體" w:hAnsi="新細明體" w:hint="eastAsia"/>
                <w:color w:val="000000"/>
                <w:sz w:val="22"/>
                <w:szCs w:val="22"/>
              </w:rPr>
              <w:t>知道什麼是有機化合物以及認識生活中常見的有機化合物。</w:t>
            </w:r>
          </w:p>
          <w:p w14:paraId="38FAAE4D" w14:textId="77777777" w:rsidR="00766369" w:rsidRPr="00580BB6" w:rsidRDefault="00766369" w:rsidP="00DD145D">
            <w:pPr>
              <w:pStyle w:val="1"/>
              <w:jc w:val="left"/>
              <w:rPr>
                <w:rFonts w:ascii="新細明體" w:eastAsia="新細明體" w:hAnsi="新細明體"/>
                <w:sz w:val="22"/>
                <w:szCs w:val="22"/>
              </w:rPr>
            </w:pPr>
            <w:r w:rsidRPr="00580BB6">
              <w:rPr>
                <w:rFonts w:ascii="新細明體" w:eastAsia="新細明體" w:hAnsi="新細明體" w:hint="eastAsia"/>
                <w:color w:val="000000"/>
                <w:sz w:val="22"/>
                <w:szCs w:val="22"/>
              </w:rPr>
              <w:t>6</w:t>
            </w:r>
            <w:r w:rsidRPr="00580BB6">
              <w:rPr>
                <w:rFonts w:ascii="新細明體" w:eastAsia="新細明體" w:hAnsi="新細明體"/>
                <w:color w:val="000000"/>
                <w:sz w:val="22"/>
                <w:szCs w:val="22"/>
              </w:rPr>
              <w:t>.</w:t>
            </w:r>
            <w:r w:rsidRPr="00580BB6">
              <w:rPr>
                <w:rFonts w:ascii="新細明體" w:eastAsia="新細明體" w:hAnsi="新細明體" w:hint="eastAsia"/>
                <w:color w:val="000000"/>
                <w:sz w:val="22"/>
                <w:szCs w:val="22"/>
              </w:rPr>
              <w:t>探討自然界中，各種力的作用與現象。</w:t>
            </w:r>
          </w:p>
          <w:p w14:paraId="03FDA2F5" w14:textId="77777777" w:rsidR="00766369" w:rsidRPr="00FE08F5" w:rsidRDefault="00766369" w:rsidP="00DD145D">
            <w:pPr>
              <w:pStyle w:val="1"/>
              <w:ind w:right="57"/>
              <w:jc w:val="left"/>
              <w:rPr>
                <w:rFonts w:ascii="新細明體" w:eastAsia="新細明體" w:hAnsi="新細明體"/>
                <w:sz w:val="22"/>
                <w:szCs w:val="22"/>
              </w:rPr>
            </w:pPr>
          </w:p>
        </w:tc>
        <w:tc>
          <w:tcPr>
            <w:tcW w:w="7938" w:type="dxa"/>
            <w:shd w:val="clear" w:color="auto" w:fill="auto"/>
            <w:vAlign w:val="center"/>
          </w:tcPr>
          <w:p w14:paraId="34614275" w14:textId="77777777" w:rsidR="00766369" w:rsidRPr="00FE08F5" w:rsidRDefault="00766369" w:rsidP="00005F44">
            <w:pPr>
              <w:pStyle w:val="1"/>
              <w:ind w:right="57"/>
              <w:rPr>
                <w:rFonts w:ascii="新細明體" w:eastAsia="新細明體" w:hAnsi="新細明體"/>
                <w:sz w:val="22"/>
                <w:szCs w:val="22"/>
              </w:rPr>
            </w:pPr>
            <w:r>
              <w:rPr>
                <w:noProof/>
              </w:rPr>
              <w:drawing>
                <wp:inline distT="0" distB="0" distL="0" distR="0" wp14:anchorId="433B6FEC" wp14:editId="5A417C56">
                  <wp:extent cx="1574165" cy="3076575"/>
                  <wp:effectExtent l="0" t="0" r="6985" b="28575"/>
                  <wp:docPr id="1"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2319F567" w14:textId="77777777" w:rsidR="005E772F" w:rsidRPr="00D36701" w:rsidRDefault="005E772F" w:rsidP="00D36701">
      <w:pPr>
        <w:pStyle w:val="1"/>
        <w:ind w:right="57"/>
        <w:jc w:val="both"/>
        <w:rPr>
          <w:rFonts w:ascii="新細明體" w:eastAsia="新細明體" w:hAnsi="新細明體"/>
          <w:snapToGrid w:val="0"/>
          <w:kern w:val="0"/>
          <w:sz w:val="22"/>
          <w:szCs w:val="22"/>
        </w:rPr>
      </w:pPr>
    </w:p>
    <w:p w14:paraId="35E83487" w14:textId="77777777" w:rsidR="00737EA7" w:rsidRPr="00E1321B" w:rsidRDefault="005256D5" w:rsidP="00E1321B">
      <w:pPr>
        <w:pStyle w:val="1"/>
        <w:spacing w:beforeLines="50" w:before="180"/>
        <w:ind w:right="57"/>
        <w:jc w:val="both"/>
        <w:rPr>
          <w:rFonts w:ascii="標楷體" w:eastAsia="新細明體"/>
          <w:sz w:val="22"/>
        </w:rPr>
      </w:pPr>
      <w:r>
        <w:rPr>
          <w:rFonts w:ascii="標楷體" w:eastAsia="新細明體" w:hint="eastAsia"/>
          <w:sz w:val="22"/>
          <w:lang w:eastAsia="zh-HK"/>
        </w:rPr>
        <w:t>二</w:t>
      </w:r>
      <w:r>
        <w:rPr>
          <w:rFonts w:ascii="標楷體" w:eastAsia="新細明體" w:hint="eastAsia"/>
          <w:sz w:val="22"/>
        </w:rPr>
        <w:t>、</w:t>
      </w:r>
      <w:r w:rsidR="00E1321B" w:rsidRPr="00E1321B">
        <w:rPr>
          <w:rFonts w:ascii="標楷體" w:eastAsia="新細明體" w:hint="eastAsia"/>
          <w:sz w:val="22"/>
        </w:rPr>
        <w:t>課程計畫時程與內容</w:t>
      </w:r>
      <w:r w:rsidR="00E1321B" w:rsidRPr="00E1321B">
        <w:rPr>
          <w:rFonts w:ascii="標楷體" w:eastAsia="新細明體"/>
          <w:sz w:val="22"/>
        </w:rPr>
        <w:t>：</w:t>
      </w:r>
    </w:p>
    <w:tbl>
      <w:tblPr>
        <w:tblStyle w:val="a3"/>
        <w:tblW w:w="15281" w:type="dxa"/>
        <w:tblInd w:w="136" w:type="dxa"/>
        <w:tblLayout w:type="fixed"/>
        <w:tblLook w:val="04A0" w:firstRow="1" w:lastRow="0" w:firstColumn="1" w:lastColumn="0" w:noHBand="0" w:noVBand="1"/>
      </w:tblPr>
      <w:tblGrid>
        <w:gridCol w:w="539"/>
        <w:gridCol w:w="709"/>
        <w:gridCol w:w="709"/>
        <w:gridCol w:w="709"/>
        <w:gridCol w:w="708"/>
        <w:gridCol w:w="1737"/>
        <w:gridCol w:w="1240"/>
        <w:gridCol w:w="1101"/>
        <w:gridCol w:w="1171"/>
        <w:gridCol w:w="2973"/>
        <w:gridCol w:w="567"/>
        <w:gridCol w:w="850"/>
        <w:gridCol w:w="709"/>
        <w:gridCol w:w="709"/>
        <w:gridCol w:w="850"/>
      </w:tblGrid>
      <w:tr w:rsidR="00291150" w:rsidRPr="00326E6A" w14:paraId="3FD7F154" w14:textId="77777777" w:rsidTr="00ED18E0">
        <w:trPr>
          <w:tblHeader/>
        </w:trPr>
        <w:tc>
          <w:tcPr>
            <w:tcW w:w="539" w:type="dxa"/>
            <w:vAlign w:val="center"/>
          </w:tcPr>
          <w:p w14:paraId="2833FD28" w14:textId="77777777" w:rsidR="00291150" w:rsidRPr="00326E6A" w:rsidRDefault="00291150" w:rsidP="00F55A1B">
            <w:pPr>
              <w:jc w:val="center"/>
              <w:rPr>
                <w:rFonts w:asciiTheme="minorEastAsia" w:hAnsiTheme="minorEastAsia"/>
                <w:b/>
                <w:sz w:val="22"/>
              </w:rPr>
            </w:pPr>
            <w:r w:rsidRPr="00326E6A">
              <w:rPr>
                <w:rFonts w:asciiTheme="minorEastAsia" w:hAnsiTheme="minorEastAsia" w:hint="eastAsia"/>
                <w:b/>
                <w:sz w:val="22"/>
              </w:rPr>
              <w:t>週次</w:t>
            </w:r>
          </w:p>
        </w:tc>
        <w:tc>
          <w:tcPr>
            <w:tcW w:w="709" w:type="dxa"/>
            <w:vAlign w:val="center"/>
          </w:tcPr>
          <w:p w14:paraId="6D83A066" w14:textId="77777777" w:rsidR="00291150" w:rsidRPr="00326E6A" w:rsidRDefault="00291150" w:rsidP="00F55A1B">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lang w:eastAsia="zh-HK"/>
              </w:rPr>
              <w:t>起訖日期</w:t>
            </w:r>
          </w:p>
        </w:tc>
        <w:tc>
          <w:tcPr>
            <w:tcW w:w="709" w:type="dxa"/>
            <w:vAlign w:val="center"/>
          </w:tcPr>
          <w:p w14:paraId="6DAD6416" w14:textId="77777777" w:rsidR="00291150" w:rsidRPr="00326E6A" w:rsidRDefault="00291150" w:rsidP="00F55A1B">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單元主題</w:t>
            </w:r>
          </w:p>
        </w:tc>
        <w:tc>
          <w:tcPr>
            <w:tcW w:w="709" w:type="dxa"/>
            <w:vAlign w:val="center"/>
          </w:tcPr>
          <w:p w14:paraId="2FE583B9" w14:textId="77777777" w:rsidR="00291150" w:rsidRPr="00326E6A" w:rsidRDefault="00291150" w:rsidP="00F55A1B">
            <w:pPr>
              <w:jc w:val="center"/>
              <w:rPr>
                <w:rFonts w:asciiTheme="minorEastAsia" w:hAnsiTheme="minorEastAsia"/>
                <w:b/>
                <w:sz w:val="22"/>
              </w:rPr>
            </w:pPr>
            <w:r w:rsidRPr="00326E6A">
              <w:rPr>
                <w:rFonts w:asciiTheme="minorEastAsia" w:hAnsiTheme="minorEastAsia" w:cs="微軟正黑體" w:hint="eastAsia"/>
                <w:b/>
                <w:bCs/>
                <w:noProof/>
                <w:kern w:val="16"/>
                <w:sz w:val="22"/>
                <w:lang w:eastAsia="zh-HK"/>
              </w:rPr>
              <w:t>課程</w:t>
            </w:r>
            <w:r w:rsidRPr="00326E6A">
              <w:rPr>
                <w:rFonts w:asciiTheme="minorEastAsia" w:hAnsiTheme="minorEastAsia" w:cs="微軟正黑體" w:hint="eastAsia"/>
                <w:b/>
                <w:bCs/>
                <w:noProof/>
                <w:kern w:val="16"/>
                <w:sz w:val="22"/>
              </w:rPr>
              <w:t>名稱</w:t>
            </w:r>
          </w:p>
        </w:tc>
        <w:tc>
          <w:tcPr>
            <w:tcW w:w="708" w:type="dxa"/>
            <w:vAlign w:val="center"/>
          </w:tcPr>
          <w:p w14:paraId="12FB210F" w14:textId="77777777" w:rsidR="00291150" w:rsidRPr="00326E6A" w:rsidRDefault="00291150" w:rsidP="00F55A1B">
            <w:pPr>
              <w:jc w:val="center"/>
              <w:rPr>
                <w:rFonts w:asciiTheme="minorEastAsia" w:hAnsiTheme="minorEastAsia"/>
                <w:b/>
                <w:sz w:val="22"/>
              </w:rPr>
            </w:pPr>
            <w:r w:rsidRPr="00326E6A">
              <w:rPr>
                <w:rFonts w:asciiTheme="minorEastAsia" w:hAnsiTheme="minorEastAsia" w:hint="eastAsia"/>
                <w:b/>
                <w:sz w:val="22"/>
              </w:rPr>
              <w:t>核心素養</w:t>
            </w:r>
            <w:r w:rsidRPr="00326E6A">
              <w:rPr>
                <w:rFonts w:asciiTheme="minorEastAsia" w:hAnsiTheme="minorEastAsia"/>
                <w:b/>
                <w:sz w:val="22"/>
              </w:rPr>
              <w:t>項目</w:t>
            </w:r>
          </w:p>
        </w:tc>
        <w:tc>
          <w:tcPr>
            <w:tcW w:w="1737" w:type="dxa"/>
            <w:vAlign w:val="center"/>
          </w:tcPr>
          <w:p w14:paraId="472FEF8D" w14:textId="77777777" w:rsidR="00291150" w:rsidRPr="00326E6A" w:rsidRDefault="00291150" w:rsidP="00F55A1B">
            <w:pPr>
              <w:jc w:val="center"/>
              <w:rPr>
                <w:rFonts w:asciiTheme="minorEastAsia" w:hAnsiTheme="minorEastAsia"/>
                <w:b/>
                <w:sz w:val="22"/>
              </w:rPr>
            </w:pPr>
            <w:r w:rsidRPr="00326E6A">
              <w:rPr>
                <w:rFonts w:asciiTheme="minorEastAsia" w:hAnsiTheme="minorEastAsia"/>
                <w:b/>
                <w:sz w:val="22"/>
              </w:rPr>
              <w:t>核心素養</w:t>
            </w:r>
          </w:p>
          <w:p w14:paraId="1505C96B" w14:textId="77777777" w:rsidR="00291150" w:rsidRPr="00326E6A" w:rsidRDefault="00291150" w:rsidP="00F55A1B">
            <w:pPr>
              <w:jc w:val="center"/>
              <w:rPr>
                <w:rFonts w:asciiTheme="minorEastAsia" w:hAnsiTheme="minorEastAsia"/>
                <w:b/>
                <w:sz w:val="22"/>
              </w:rPr>
            </w:pPr>
            <w:r w:rsidRPr="00326E6A">
              <w:rPr>
                <w:rFonts w:asciiTheme="minorEastAsia" w:hAnsiTheme="minorEastAsia"/>
                <w:b/>
                <w:sz w:val="22"/>
              </w:rPr>
              <w:t>具體內涵</w:t>
            </w:r>
          </w:p>
        </w:tc>
        <w:tc>
          <w:tcPr>
            <w:tcW w:w="1240" w:type="dxa"/>
            <w:vAlign w:val="center"/>
          </w:tcPr>
          <w:p w14:paraId="1A0CD581" w14:textId="77777777" w:rsidR="00291150" w:rsidRPr="00326E6A" w:rsidRDefault="00291150" w:rsidP="00F55A1B">
            <w:pPr>
              <w:jc w:val="center"/>
              <w:rPr>
                <w:rFonts w:asciiTheme="minorEastAsia" w:hAnsiTheme="minorEastAsia"/>
                <w:b/>
                <w:sz w:val="22"/>
              </w:rPr>
            </w:pPr>
            <w:r w:rsidRPr="00326E6A">
              <w:rPr>
                <w:rFonts w:asciiTheme="minorEastAsia" w:hAnsiTheme="minorEastAsia" w:hint="eastAsia"/>
                <w:b/>
                <w:sz w:val="22"/>
              </w:rPr>
              <w:t>學習表現</w:t>
            </w:r>
          </w:p>
        </w:tc>
        <w:tc>
          <w:tcPr>
            <w:tcW w:w="1101" w:type="dxa"/>
            <w:vAlign w:val="center"/>
          </w:tcPr>
          <w:p w14:paraId="79678236" w14:textId="77777777" w:rsidR="00291150" w:rsidRPr="00326E6A" w:rsidRDefault="00291150" w:rsidP="00F55A1B">
            <w:pPr>
              <w:jc w:val="center"/>
              <w:rPr>
                <w:rFonts w:asciiTheme="minorEastAsia" w:hAnsiTheme="minorEastAsia"/>
                <w:b/>
                <w:sz w:val="22"/>
              </w:rPr>
            </w:pPr>
            <w:r w:rsidRPr="00326E6A">
              <w:rPr>
                <w:rFonts w:asciiTheme="minorEastAsia" w:hAnsiTheme="minorEastAsia" w:hint="eastAsia"/>
                <w:b/>
                <w:sz w:val="22"/>
              </w:rPr>
              <w:t>學習內容</w:t>
            </w:r>
          </w:p>
        </w:tc>
        <w:tc>
          <w:tcPr>
            <w:tcW w:w="1171" w:type="dxa"/>
            <w:vAlign w:val="center"/>
          </w:tcPr>
          <w:p w14:paraId="12FB5558" w14:textId="77777777" w:rsidR="00291150" w:rsidRPr="00326E6A" w:rsidRDefault="00291150" w:rsidP="00F55A1B">
            <w:pPr>
              <w:jc w:val="center"/>
              <w:rPr>
                <w:rFonts w:asciiTheme="minorEastAsia" w:hAnsiTheme="minorEastAsia"/>
                <w:b/>
                <w:sz w:val="22"/>
              </w:rPr>
            </w:pPr>
            <w:r w:rsidRPr="00326E6A">
              <w:rPr>
                <w:rFonts w:asciiTheme="minorEastAsia" w:hAnsiTheme="minorEastAsia" w:hint="eastAsia"/>
                <w:b/>
                <w:sz w:val="22"/>
              </w:rPr>
              <w:t>學習目標</w:t>
            </w:r>
          </w:p>
        </w:tc>
        <w:tc>
          <w:tcPr>
            <w:tcW w:w="2973" w:type="dxa"/>
            <w:shd w:val="clear" w:color="auto" w:fill="auto"/>
            <w:vAlign w:val="center"/>
          </w:tcPr>
          <w:p w14:paraId="4F05D108" w14:textId="77777777" w:rsidR="00291150" w:rsidRPr="0052708D" w:rsidRDefault="00291150" w:rsidP="00F55A1B">
            <w:pPr>
              <w:rPr>
                <w:rFonts w:asciiTheme="minorEastAsia" w:hAnsiTheme="minorEastAsia"/>
                <w:b/>
                <w:sz w:val="22"/>
              </w:rPr>
            </w:pPr>
            <w:r w:rsidRPr="0052708D">
              <w:rPr>
                <w:rFonts w:asciiTheme="minorEastAsia" w:hAnsiTheme="minorEastAsia" w:hint="eastAsia"/>
                <w:b/>
                <w:sz w:val="22"/>
              </w:rPr>
              <w:t>教學活動重點</w:t>
            </w:r>
          </w:p>
        </w:tc>
        <w:tc>
          <w:tcPr>
            <w:tcW w:w="567" w:type="dxa"/>
            <w:vAlign w:val="center"/>
          </w:tcPr>
          <w:p w14:paraId="2D31055C" w14:textId="77777777" w:rsidR="00291150" w:rsidRPr="00326E6A" w:rsidRDefault="00291150" w:rsidP="00F55A1B">
            <w:pPr>
              <w:jc w:val="center"/>
              <w:rPr>
                <w:rFonts w:asciiTheme="minorEastAsia" w:hAnsiTheme="minorEastAsia"/>
                <w:b/>
                <w:sz w:val="22"/>
              </w:rPr>
            </w:pPr>
            <w:r w:rsidRPr="00326E6A">
              <w:rPr>
                <w:rFonts w:asciiTheme="minorEastAsia" w:hAnsiTheme="minorEastAsia" w:hint="eastAsia"/>
                <w:b/>
                <w:sz w:val="22"/>
              </w:rPr>
              <w:t>節數</w:t>
            </w:r>
          </w:p>
        </w:tc>
        <w:tc>
          <w:tcPr>
            <w:tcW w:w="850" w:type="dxa"/>
            <w:vAlign w:val="center"/>
          </w:tcPr>
          <w:p w14:paraId="4CA77203" w14:textId="77777777" w:rsidR="00291150" w:rsidRPr="00326E6A" w:rsidRDefault="00291150" w:rsidP="00F55A1B">
            <w:pPr>
              <w:jc w:val="center"/>
              <w:rPr>
                <w:rFonts w:asciiTheme="minorEastAsia" w:hAnsiTheme="minorEastAsia"/>
                <w:b/>
                <w:sz w:val="22"/>
              </w:rPr>
            </w:pPr>
            <w:r w:rsidRPr="00326E6A">
              <w:rPr>
                <w:rFonts w:asciiTheme="minorEastAsia" w:hAnsiTheme="minorEastAsia" w:cs="微軟正黑體" w:hint="eastAsia"/>
                <w:b/>
                <w:bCs/>
                <w:noProof/>
                <w:kern w:val="16"/>
                <w:sz w:val="22"/>
              </w:rPr>
              <w:t>教學設備</w:t>
            </w:r>
            <w:r w:rsidRPr="00326E6A">
              <w:rPr>
                <w:rFonts w:asciiTheme="minorEastAsia" w:hAnsiTheme="minorEastAsia" w:cs="微軟正黑體"/>
                <w:b/>
                <w:bCs/>
                <w:noProof/>
                <w:kern w:val="16"/>
                <w:sz w:val="22"/>
              </w:rPr>
              <w:t>/</w:t>
            </w:r>
            <w:r w:rsidRPr="00326E6A">
              <w:rPr>
                <w:rFonts w:asciiTheme="minorEastAsia" w:hAnsiTheme="minorEastAsia" w:cs="微軟正黑體" w:hint="eastAsia"/>
                <w:b/>
                <w:bCs/>
                <w:noProof/>
                <w:kern w:val="16"/>
                <w:sz w:val="22"/>
              </w:rPr>
              <w:t>資源</w:t>
            </w:r>
          </w:p>
        </w:tc>
        <w:tc>
          <w:tcPr>
            <w:tcW w:w="709" w:type="dxa"/>
            <w:vAlign w:val="center"/>
          </w:tcPr>
          <w:p w14:paraId="4ECDC3E4" w14:textId="77777777" w:rsidR="00291150" w:rsidRPr="00326E6A" w:rsidRDefault="00291150" w:rsidP="00F55A1B">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評量</w:t>
            </w:r>
            <w:r w:rsidRPr="00326E6A">
              <w:rPr>
                <w:rFonts w:asciiTheme="minorEastAsia" w:hAnsiTheme="minorEastAsia" w:cs="微軟正黑體" w:hint="eastAsia"/>
                <w:b/>
                <w:bCs/>
                <w:noProof/>
                <w:kern w:val="16"/>
                <w:sz w:val="22"/>
                <w:lang w:eastAsia="zh-HK"/>
              </w:rPr>
              <w:t>方式</w:t>
            </w:r>
          </w:p>
        </w:tc>
        <w:tc>
          <w:tcPr>
            <w:tcW w:w="709" w:type="dxa"/>
            <w:vAlign w:val="center"/>
          </w:tcPr>
          <w:p w14:paraId="46E0E3C2" w14:textId="77777777" w:rsidR="00291150" w:rsidRPr="00326E6A" w:rsidRDefault="00291150" w:rsidP="00F55A1B">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議題融入</w:t>
            </w:r>
          </w:p>
        </w:tc>
        <w:tc>
          <w:tcPr>
            <w:tcW w:w="850" w:type="dxa"/>
            <w:shd w:val="clear" w:color="auto" w:fill="auto"/>
            <w:vAlign w:val="center"/>
          </w:tcPr>
          <w:p w14:paraId="3C8E72D4" w14:textId="77777777" w:rsidR="00291150" w:rsidRPr="0052708D" w:rsidRDefault="00291150" w:rsidP="00F55A1B">
            <w:pPr>
              <w:jc w:val="center"/>
              <w:rPr>
                <w:rFonts w:asciiTheme="minorEastAsia" w:hAnsiTheme="minorEastAsia" w:cs="微軟正黑體"/>
                <w:b/>
                <w:bCs/>
                <w:noProof/>
                <w:kern w:val="16"/>
                <w:sz w:val="22"/>
              </w:rPr>
            </w:pPr>
            <w:r w:rsidRPr="0052708D">
              <w:rPr>
                <w:rFonts w:asciiTheme="minorEastAsia" w:hAnsiTheme="minorEastAsia" w:hint="eastAsia"/>
                <w:b/>
                <w:sz w:val="22"/>
              </w:rPr>
              <w:t>統整相關領域</w:t>
            </w:r>
          </w:p>
        </w:tc>
      </w:tr>
      <w:tr w:rsidR="00766369" w:rsidRPr="0052708D" w14:paraId="6F1D3DCF" w14:textId="77777777" w:rsidTr="00ED18E0">
        <w:tc>
          <w:tcPr>
            <w:tcW w:w="539" w:type="dxa"/>
          </w:tcPr>
          <w:p w14:paraId="5A51F3D6"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一</w:t>
            </w:r>
          </w:p>
        </w:tc>
        <w:tc>
          <w:tcPr>
            <w:tcW w:w="709" w:type="dxa"/>
          </w:tcPr>
          <w:p w14:paraId="15044E2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2/15-2/19</w:t>
            </w:r>
          </w:p>
        </w:tc>
        <w:tc>
          <w:tcPr>
            <w:tcW w:w="709" w:type="dxa"/>
          </w:tcPr>
          <w:p w14:paraId="61372035" w14:textId="77777777" w:rsidR="00766369" w:rsidRPr="009D4249" w:rsidRDefault="00766369" w:rsidP="00F55A1B">
            <w:pPr>
              <w:snapToGrid w:val="0"/>
              <w:rPr>
                <w:rFonts w:ascii="新細明體" w:hAnsi="新細明體"/>
                <w:sz w:val="16"/>
                <w:szCs w:val="16"/>
              </w:rPr>
            </w:pPr>
            <w:r w:rsidRPr="009D4249">
              <w:rPr>
                <w:rFonts w:ascii="新細明體" w:hAnsi="新細明體" w:hint="eastAsia"/>
                <w:sz w:val="16"/>
                <w:szCs w:val="16"/>
              </w:rPr>
              <w:t>第1章化學反應</w:t>
            </w:r>
          </w:p>
        </w:tc>
        <w:tc>
          <w:tcPr>
            <w:tcW w:w="709" w:type="dxa"/>
          </w:tcPr>
          <w:p w14:paraId="1ADB7CA1"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1‧1質量守恆</w:t>
            </w:r>
          </w:p>
        </w:tc>
        <w:tc>
          <w:tcPr>
            <w:tcW w:w="708" w:type="dxa"/>
          </w:tcPr>
          <w:p w14:paraId="7148EB20"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1571252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30AA6298"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w:t>
            </w:r>
            <w:r w:rsidRPr="00CA5264">
              <w:rPr>
                <w:rFonts w:ascii="新細明體" w:eastAsia="新細明體" w:hAnsi="新細明體" w:hint="eastAsia"/>
                <w:snapToGrid w:val="0"/>
                <w:kern w:val="0"/>
                <w:sz w:val="16"/>
                <w:szCs w:val="16"/>
              </w:rPr>
              <w:lastRenderedPageBreak/>
              <w:t>號運用與溝通表達</w:t>
            </w:r>
          </w:p>
          <w:p w14:paraId="13952183"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B2:科技資訊與媒體素養</w:t>
            </w:r>
          </w:p>
        </w:tc>
        <w:tc>
          <w:tcPr>
            <w:tcW w:w="1737" w:type="dxa"/>
          </w:tcPr>
          <w:p w14:paraId="5B334C38" w14:textId="77777777" w:rsidR="00766369" w:rsidRPr="00CA5264" w:rsidRDefault="00766369" w:rsidP="00F55A1B">
            <w:pPr>
              <w:pStyle w:val="Default"/>
              <w:snapToGrid w:val="0"/>
              <w:jc w:val="both"/>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lastRenderedPageBreak/>
              <w:t>自-J-A1:能應用科學知識、方法與態度於日常生活當中。</w:t>
            </w:r>
          </w:p>
          <w:p w14:paraId="59FFF1EF" w14:textId="77777777" w:rsidR="00766369" w:rsidRPr="00CA5264" w:rsidRDefault="00766369" w:rsidP="00F55A1B">
            <w:pPr>
              <w:pStyle w:val="Default"/>
              <w:snapToGrid w:val="0"/>
              <w:jc w:val="both"/>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w:t>
            </w:r>
            <w:r w:rsidRPr="00CA5264">
              <w:rPr>
                <w:rFonts w:ascii="新細明體" w:eastAsia="新細明體" w:hAnsi="新細明體" w:hint="eastAsia"/>
                <w:snapToGrid w:val="0"/>
                <w:sz w:val="16"/>
                <w:szCs w:val="16"/>
              </w:rPr>
              <w:lastRenderedPageBreak/>
              <w:t>方法、資訊或數據的可信性抱持合理的懷疑態度或進行檢核，提出問題可能的解決方案。</w:t>
            </w:r>
          </w:p>
          <w:p w14:paraId="4AF145C0" w14:textId="77777777" w:rsidR="00766369" w:rsidRPr="00CA5264" w:rsidRDefault="00766369" w:rsidP="00F55A1B">
            <w:pPr>
              <w:pStyle w:val="Default"/>
              <w:snapToGrid w:val="0"/>
              <w:jc w:val="both"/>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50DAE1E"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tc>
        <w:tc>
          <w:tcPr>
            <w:tcW w:w="1240" w:type="dxa"/>
          </w:tcPr>
          <w:p w14:paraId="18DD86C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pa-Ⅳ-2:能運用科學原理、思考智能、數學等方法，從（所得的）資訊或數據，形成解釋、發現新知、獲知因果關係、解決問題</w:t>
            </w:r>
            <w:r w:rsidRPr="00CA5264">
              <w:rPr>
                <w:rFonts w:asciiTheme="minorEastAsia" w:hAnsiTheme="minorEastAsia" w:hint="eastAsia"/>
                <w:sz w:val="16"/>
                <w:szCs w:val="16"/>
              </w:rPr>
              <w:lastRenderedPageBreak/>
              <w:t>或是發現新的問題。並能將自己的探究結果和同學的結果或其他相關的資訊比較對照，相互檢核，確認結果。</w:t>
            </w:r>
          </w:p>
        </w:tc>
        <w:tc>
          <w:tcPr>
            <w:tcW w:w="1101" w:type="dxa"/>
          </w:tcPr>
          <w:p w14:paraId="0589080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Mb-Ⅳ-2:科學史上重要發現的過程，以及不同性別、背景、族群者於其中的貢獻。</w:t>
            </w:r>
          </w:p>
          <w:p w14:paraId="75064FD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Ja-Ⅳ-1:化學反應中的質</w:t>
            </w:r>
            <w:r w:rsidRPr="00CA5264">
              <w:rPr>
                <w:rFonts w:asciiTheme="minorEastAsia" w:hAnsiTheme="minorEastAsia" w:hint="eastAsia"/>
                <w:sz w:val="16"/>
                <w:szCs w:val="16"/>
              </w:rPr>
              <w:lastRenderedPageBreak/>
              <w:t>量守恆定律。</w:t>
            </w:r>
          </w:p>
          <w:p w14:paraId="0E3277C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Ja-Ⅳ-3:化學反應中常伴隨沉澱、氣體、顏色及溫度變化等現象。</w:t>
            </w:r>
          </w:p>
        </w:tc>
        <w:tc>
          <w:tcPr>
            <w:tcW w:w="1171" w:type="dxa"/>
          </w:tcPr>
          <w:p w14:paraId="412AB50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 xml:space="preserve">1. </w:t>
            </w:r>
            <w:r w:rsidRPr="00CA5264">
              <w:rPr>
                <w:rFonts w:asciiTheme="minorEastAsia" w:hAnsiTheme="minorEastAsia" w:hint="eastAsia"/>
                <w:sz w:val="16"/>
                <w:szCs w:val="16"/>
              </w:rPr>
              <w:t>簡述化學反應中常伴隨沉澱、氣體、顏色與溫度變化等現象。</w:t>
            </w:r>
          </w:p>
          <w:p w14:paraId="1E6FF1A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進行質量守恆實驗，並藉由實驗說</w:t>
            </w:r>
            <w:r w:rsidRPr="00CA5264">
              <w:rPr>
                <w:rFonts w:asciiTheme="minorEastAsia" w:hAnsiTheme="minorEastAsia" w:hint="eastAsia"/>
                <w:sz w:val="16"/>
                <w:szCs w:val="16"/>
              </w:rPr>
              <w:lastRenderedPageBreak/>
              <w:t>明化學反應遵守質量守恆。</w:t>
            </w:r>
          </w:p>
          <w:p w14:paraId="4795CC1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拉瓦節與質量守恆定律。</w:t>
            </w:r>
          </w:p>
        </w:tc>
        <w:tc>
          <w:tcPr>
            <w:tcW w:w="2973" w:type="dxa"/>
            <w:shd w:val="clear" w:color="auto" w:fill="auto"/>
          </w:tcPr>
          <w:p w14:paraId="58C43C7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1. 提問：物質發生化學反應時，質量會改變嗎？</w:t>
            </w:r>
          </w:p>
          <w:p w14:paraId="7B50897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利用木材燃燒、石灰水檢驗二氧化碳等介紹化學反應常見的現象。</w:t>
            </w:r>
          </w:p>
          <w:p w14:paraId="5BB61A6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思考化學反應的特色。</w:t>
            </w:r>
          </w:p>
          <w:p w14:paraId="741EE32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說明科學除了觀察現象外，還需要進行測量了解物質變化的關係。</w:t>
            </w:r>
          </w:p>
          <w:p w14:paraId="5FFD999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化學反應進行時除了肉眼可見的物質外，是否尚有未觀察到物質或能量？</w:t>
            </w:r>
          </w:p>
          <w:p w14:paraId="1EFB612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6. 藉由質量守恆的實驗探討物質發生化學反應前、後，物質總質量的變化。</w:t>
            </w:r>
          </w:p>
          <w:p w14:paraId="2CCBAAD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碳酸鈉水溶液與氯化鈣水溶液的反應：(1)600mL寶特瓶較為適宜，太大無法站立在秤盤上；太小則無法放入試管。(2)秤取氯化鈣約4g倒入燒杯中，再加入水約50mL，輕輕攪拌使氯化鈣完全溶解。(3)傾斜寶特瓶，讓試管沿著瓶壁滑入寶特瓶內，不可直接讓試管垂直掉入瓶內。(4)提問必須傾斜寶特瓶，讓試管沿著瓶壁滑入寶特瓶內的原因。(5)記錄反應前寶特瓶的質量後，不要移動天平右盤上的砝碼。(6)傾倒寶特瓶使碳酸鈉水溶液與氯化鈣水溶液反應，可同步觀察是否有氣泡產生，並壓一壓寶特瓶感覺是否變硬。(7)把反應後的寶特瓶放回天平左盤，秤量並記錄寶特瓶質量。(8)鬆開瓶蓋後必須將瓶蓋留在瓶口上，再秤量寶特瓶質量。</w:t>
            </w:r>
          </w:p>
          <w:p w14:paraId="1C664D2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8</w:t>
            </w:r>
            <w:r w:rsidRPr="00CA5264">
              <w:rPr>
                <w:rFonts w:asciiTheme="minorEastAsia" w:hAnsiTheme="minorEastAsia" w:hint="eastAsia"/>
                <w:sz w:val="16"/>
                <w:szCs w:val="16"/>
              </w:rPr>
              <w:t>. 大理石與鹽酸的反應：(1)應小心取用鹽酸，萬一沾到手或身體時，要立即以清水沖洗。(2)為何大理石與鹽酸必須在密閉系統中反應，反應前、後的質量才會相等的原因。(3)說出大理石與鹽酸反應時，產生哪一種氣體使得氣球充氣。</w:t>
            </w:r>
          </w:p>
          <w:p w14:paraId="1BABAB5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探討若在密閉容器中，化學反應前、後物質的總質量不會改變，但如果不是在密閉容器，化學反應後物質的總質量則會減少。</w:t>
            </w:r>
          </w:p>
          <w:p w14:paraId="23D8E2F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探討鋼絲絨在空氣中燃燒的反應。</w:t>
            </w:r>
          </w:p>
          <w:p w14:paraId="5288576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大理石與鹽酸反應、鋼絲絨燃燒實驗，前者有二氧化碳的產生，後者有氧氣參與結合，二氧化碳和氧氣都是氣體，因為氣體在開放容器中無法秤量其質量，所以都必須在密閉容器中進行實驗，才可證明化學反應前、後的總質量不會改變。而氯化鈣水溶液與碳酸鈉水溶液的反應，其反應物或生成物都沒有氣體，所以可在開放容器中進行實驗。</w:t>
            </w:r>
          </w:p>
          <w:p w14:paraId="538DE84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說明「質量守恆定律」的含義。</w:t>
            </w:r>
          </w:p>
          <w:p w14:paraId="0615C2AB"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可利用排列組合好的積木或原子模型，將其任意拆解，再組合成其他新物質，說明化學變化後雖產生新物質，但原子種類及數目不變，說明質量守恆定律。</w:t>
            </w:r>
          </w:p>
        </w:tc>
        <w:tc>
          <w:tcPr>
            <w:tcW w:w="567" w:type="dxa"/>
          </w:tcPr>
          <w:p w14:paraId="0BD9D4CB" w14:textId="6DDFB375" w:rsidR="00766369" w:rsidRPr="0052708D" w:rsidRDefault="00201BF7"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3EC52BD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實驗所需器材及藥品。</w:t>
            </w:r>
          </w:p>
          <w:p w14:paraId="2D2FA48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道耳頓相關資料。</w:t>
            </w:r>
          </w:p>
          <w:p w14:paraId="17C6DB0F"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鋼絲絨、鑷</w:t>
            </w:r>
            <w:r w:rsidRPr="00CA5264">
              <w:rPr>
                <w:rFonts w:asciiTheme="minorEastAsia" w:hAnsiTheme="minorEastAsia" w:hint="eastAsia"/>
                <w:sz w:val="16"/>
                <w:szCs w:val="16"/>
              </w:rPr>
              <w:lastRenderedPageBreak/>
              <w:t>子、上皿天平與酒精燈。</w:t>
            </w:r>
          </w:p>
        </w:tc>
        <w:tc>
          <w:tcPr>
            <w:tcW w:w="709" w:type="dxa"/>
          </w:tcPr>
          <w:p w14:paraId="42CE7B0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1. 口頭評量</w:t>
            </w:r>
          </w:p>
          <w:p w14:paraId="0652BEA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2. 紙筆評量</w:t>
            </w:r>
          </w:p>
        </w:tc>
        <w:tc>
          <w:tcPr>
            <w:tcW w:w="709" w:type="dxa"/>
          </w:tcPr>
          <w:p w14:paraId="2F697B04" w14:textId="77777777" w:rsidR="00766369" w:rsidRPr="009D4249" w:rsidRDefault="00766369" w:rsidP="00F55A1B">
            <w:pPr>
              <w:snapToGrid w:val="0"/>
              <w:rPr>
                <w:rFonts w:ascii="新細明體" w:hAnsi="新細明體"/>
                <w:sz w:val="16"/>
                <w:szCs w:val="16"/>
              </w:rPr>
            </w:pPr>
            <w:r w:rsidRPr="009D4249">
              <w:rPr>
                <w:rFonts w:ascii="新細明體" w:hAnsi="新細明體" w:hint="eastAsia"/>
                <w:sz w:val="16"/>
                <w:szCs w:val="16"/>
              </w:rPr>
              <w:t>【科技教育】</w:t>
            </w:r>
          </w:p>
          <w:p w14:paraId="7CA11A92" w14:textId="77777777" w:rsidR="00766369" w:rsidRPr="009D4249" w:rsidRDefault="00766369" w:rsidP="00F55A1B">
            <w:pPr>
              <w:snapToGrid w:val="0"/>
              <w:rPr>
                <w:rFonts w:ascii="新細明體" w:hAnsi="新細明體"/>
                <w:sz w:val="16"/>
                <w:szCs w:val="16"/>
              </w:rPr>
            </w:pPr>
            <w:r w:rsidRPr="009D4249">
              <w:rPr>
                <w:rFonts w:ascii="新細明體" w:hAnsi="新細明體" w:hint="eastAsia"/>
                <w:sz w:val="16"/>
                <w:szCs w:val="16"/>
              </w:rPr>
              <w:t>科E2</w:t>
            </w:r>
            <w:r w:rsidRPr="009D4249">
              <w:rPr>
                <w:rFonts w:ascii="新細明體" w:hAnsi="新細明體"/>
                <w:sz w:val="16"/>
                <w:szCs w:val="16"/>
              </w:rPr>
              <w:t>:</w:t>
            </w:r>
            <w:r w:rsidRPr="009D4249">
              <w:rPr>
                <w:rFonts w:ascii="新細明體" w:hAnsi="新細明體" w:hint="eastAsia"/>
                <w:sz w:val="16"/>
                <w:szCs w:val="16"/>
              </w:rPr>
              <w:t>了解動手實作的重要性。</w:t>
            </w:r>
          </w:p>
          <w:p w14:paraId="4B85563D" w14:textId="77777777" w:rsidR="00766369" w:rsidRPr="009D4249" w:rsidRDefault="00766369" w:rsidP="00F55A1B">
            <w:pPr>
              <w:snapToGrid w:val="0"/>
              <w:rPr>
                <w:rFonts w:ascii="新細明體" w:hAnsi="新細明體"/>
                <w:sz w:val="16"/>
                <w:szCs w:val="16"/>
              </w:rPr>
            </w:pPr>
            <w:r w:rsidRPr="009D4249">
              <w:rPr>
                <w:rFonts w:ascii="新細明體" w:hAnsi="新細明體" w:hint="eastAsia"/>
                <w:sz w:val="16"/>
                <w:szCs w:val="16"/>
              </w:rPr>
              <w:t>科E4</w:t>
            </w:r>
            <w:r w:rsidRPr="009D4249">
              <w:rPr>
                <w:rFonts w:ascii="新細明體" w:hAnsi="新細明體"/>
                <w:sz w:val="16"/>
                <w:szCs w:val="16"/>
              </w:rPr>
              <w:t>:</w:t>
            </w:r>
            <w:r w:rsidRPr="009D4249">
              <w:rPr>
                <w:rFonts w:ascii="新細明體" w:hAnsi="新細明體" w:hint="eastAsia"/>
                <w:sz w:val="16"/>
                <w:szCs w:val="16"/>
              </w:rPr>
              <w:t>體會動</w:t>
            </w:r>
            <w:r w:rsidRPr="009D4249">
              <w:rPr>
                <w:rFonts w:ascii="新細明體" w:hAnsi="新細明體" w:hint="eastAsia"/>
                <w:sz w:val="16"/>
                <w:szCs w:val="16"/>
              </w:rPr>
              <w:lastRenderedPageBreak/>
              <w:t>手實作的樂趣，並養成正向的科技態度。</w:t>
            </w:r>
          </w:p>
        </w:tc>
        <w:tc>
          <w:tcPr>
            <w:tcW w:w="850" w:type="dxa"/>
            <w:shd w:val="clear" w:color="auto" w:fill="auto"/>
          </w:tcPr>
          <w:p w14:paraId="554A3E19" w14:textId="77777777" w:rsidR="00766369" w:rsidRPr="009D4249" w:rsidRDefault="00766369" w:rsidP="00F55A1B">
            <w:pPr>
              <w:snapToGrid w:val="0"/>
              <w:rPr>
                <w:rFonts w:ascii="新細明體" w:hAnsi="新細明體"/>
                <w:sz w:val="16"/>
                <w:szCs w:val="16"/>
              </w:rPr>
            </w:pPr>
            <w:r w:rsidRPr="009D4249">
              <w:rPr>
                <w:rFonts w:ascii="新細明體" w:hAnsi="新細明體" w:hint="eastAsia"/>
                <w:sz w:val="16"/>
                <w:szCs w:val="16"/>
              </w:rPr>
              <w:lastRenderedPageBreak/>
              <w:t>數學</w:t>
            </w:r>
          </w:p>
          <w:p w14:paraId="1C3D1A0E" w14:textId="77777777" w:rsidR="00766369" w:rsidRPr="009D4249" w:rsidRDefault="00766369" w:rsidP="00F55A1B">
            <w:pPr>
              <w:snapToGrid w:val="0"/>
              <w:rPr>
                <w:rFonts w:ascii="新細明體" w:hAnsi="新細明體"/>
                <w:sz w:val="16"/>
                <w:szCs w:val="16"/>
              </w:rPr>
            </w:pPr>
            <w:r w:rsidRPr="009D4249">
              <w:rPr>
                <w:rFonts w:ascii="新細明體" w:hAnsi="新細明體" w:hint="eastAsia"/>
                <w:sz w:val="16"/>
                <w:szCs w:val="16"/>
              </w:rPr>
              <w:t>科技</w:t>
            </w:r>
          </w:p>
        </w:tc>
      </w:tr>
      <w:tr w:rsidR="00766369" w:rsidRPr="0052708D" w14:paraId="3A50A04D" w14:textId="77777777" w:rsidTr="00ED18E0">
        <w:tc>
          <w:tcPr>
            <w:tcW w:w="539" w:type="dxa"/>
          </w:tcPr>
          <w:p w14:paraId="4FD92D47"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lastRenderedPageBreak/>
              <w:t>二</w:t>
            </w:r>
          </w:p>
        </w:tc>
        <w:tc>
          <w:tcPr>
            <w:tcW w:w="709" w:type="dxa"/>
          </w:tcPr>
          <w:p w14:paraId="59AAD907"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2/22-2/26</w:t>
            </w:r>
          </w:p>
        </w:tc>
        <w:tc>
          <w:tcPr>
            <w:tcW w:w="709" w:type="dxa"/>
          </w:tcPr>
          <w:p w14:paraId="0A54D263"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第1章化學反應</w:t>
            </w:r>
          </w:p>
        </w:tc>
        <w:tc>
          <w:tcPr>
            <w:tcW w:w="709" w:type="dxa"/>
          </w:tcPr>
          <w:p w14:paraId="7317E891"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1．2化學反應的微觀世界</w:t>
            </w:r>
          </w:p>
        </w:tc>
        <w:tc>
          <w:tcPr>
            <w:tcW w:w="708" w:type="dxa"/>
          </w:tcPr>
          <w:p w14:paraId="77420340"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3A83A2C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6707FE0F"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38AA82E1"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006BCE2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42CF7A0A"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C89B85D"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3A7287D9"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56D2754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an-Ⅳ-3:體察到不同性別、背景、族群科學家們具有堅毅、嚴謹和講求邏輯的特質，也具有好奇心、求知慾和想像力。</w:t>
            </w:r>
          </w:p>
        </w:tc>
        <w:tc>
          <w:tcPr>
            <w:tcW w:w="1101" w:type="dxa"/>
          </w:tcPr>
          <w:p w14:paraId="62EA491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Aa-Ⅳ-2:原子量與分子量是原子、分子之間的相對質量。</w:t>
            </w:r>
          </w:p>
          <w:p w14:paraId="51039DF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Ja-Ⅳ-4:化學反應的表示法。</w:t>
            </w:r>
          </w:p>
        </w:tc>
        <w:tc>
          <w:tcPr>
            <w:tcW w:w="1171" w:type="dxa"/>
          </w:tcPr>
          <w:p w14:paraId="12D03B6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原子量與分子量。</w:t>
            </w:r>
          </w:p>
          <w:p w14:paraId="59832E5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莫耳與質量。</w:t>
            </w:r>
          </w:p>
          <w:p w14:paraId="18949BB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以簡單模型說明化學反應式的符號與意義。</w:t>
            </w:r>
          </w:p>
          <w:p w14:paraId="182771F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莫耳與質量的運算。</w:t>
            </w:r>
          </w:p>
        </w:tc>
        <w:tc>
          <w:tcPr>
            <w:tcW w:w="2973" w:type="dxa"/>
            <w:shd w:val="clear" w:color="auto" w:fill="auto"/>
          </w:tcPr>
          <w:p w14:paraId="3C4C9F9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以「自然暖身操」為例引入，引導學生如何快速清點大量的零錢。</w:t>
            </w:r>
          </w:p>
          <w:p w14:paraId="62937C4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說明因為原子的質量非常小，其重量非一般肉眼或簡單的測量儀器可以看見或測量，所以通常取一定數量的原子來比較質量，比較的結果稱為原子量。</w:t>
            </w:r>
          </w:p>
          <w:p w14:paraId="4F12DB5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以其他的原子與碳-12的質量比較值，推論出其他原子的原子量。</w:t>
            </w:r>
          </w:p>
          <w:p w14:paraId="2175CA5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以二氧化碳等分子為例，演示分子量的求法。</w:t>
            </w:r>
          </w:p>
          <w:p w14:paraId="3EE0196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莫耳是一個簡單的計量單位即可，讓學生認知粒子是很小很小的，使用莫耳來計量會較方便。</w:t>
            </w:r>
          </w:p>
          <w:p w14:paraId="363AC42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以準備好的米粒或綠豆，請學生想想如何計量它們的數目，再引入以莫耳計量的概念。</w:t>
            </w:r>
          </w:p>
          <w:p w14:paraId="078305A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複習物質的原子量及分子量，向學生說明當取一莫耳的粒子數目來稱重時，所得的質量值會等於物質的原子量或分子量的數值。然後說明一莫耳其實代表一個很大的數目，此數目約為6×10</w:t>
            </w:r>
            <w:r w:rsidRPr="00CA5264">
              <w:rPr>
                <w:rFonts w:asciiTheme="minorEastAsia" w:hAnsiTheme="minorEastAsia" w:hint="eastAsia"/>
                <w:sz w:val="16"/>
                <w:szCs w:val="16"/>
                <w:vertAlign w:val="superscript"/>
              </w:rPr>
              <w:t>23</w:t>
            </w:r>
            <w:r w:rsidRPr="00CA5264">
              <w:rPr>
                <w:rFonts w:asciiTheme="minorEastAsia" w:hAnsiTheme="minorEastAsia" w:hint="eastAsia"/>
                <w:sz w:val="16"/>
                <w:szCs w:val="16"/>
              </w:rPr>
              <w:t>。</w:t>
            </w:r>
          </w:p>
          <w:p w14:paraId="487D6F9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回顧元素符號與分子式的意義，引導學生思考化學反應也需要適當的表示法。</w:t>
            </w:r>
          </w:p>
          <w:p w14:paraId="0F2F31C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說明化學反應式是以化學式、加號（＋）及箭號（→）等符號組合的式子，用來表示實際發生的化學反應。</w:t>
            </w:r>
          </w:p>
          <w:p w14:paraId="20964A8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以氫分子與氧分子燃燒生成水分子為例，說明化學反應式的符號意義與書寫順序。</w:t>
            </w:r>
          </w:p>
          <w:p w14:paraId="40B7158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說明平衡化學反應式的原理是根據「反應前、後原子種類與數目不變」及「質量守恆定律」。</w:t>
            </w:r>
          </w:p>
          <w:p w14:paraId="4AC2DEF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說明氫與氧燃燒的化學反應式平衡過程。可用不同顏色與大小的圓形磁鐵代表氫原子和氧原子，在黑板上示範反應時的組合與排列。</w:t>
            </w:r>
          </w:p>
          <w:p w14:paraId="30F0CFF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說明平衡後的化學反應式，各係數所表示的意義。</w:t>
            </w:r>
          </w:p>
          <w:p w14:paraId="216845C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再舉雙氧水製氧為例子：2H</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O</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→2H</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O＋O</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，說明化學反應式書寫時的注意事項。</w:t>
            </w:r>
          </w:p>
          <w:p w14:paraId="384A8CF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舉例說明化學反應式中的係數意義：兩片吐司麵包和一個荷包蛋，剛好製成</w:t>
            </w:r>
            <w:r w:rsidRPr="00CA5264">
              <w:rPr>
                <w:rFonts w:asciiTheme="minorEastAsia" w:hAnsiTheme="minorEastAsia" w:hint="eastAsia"/>
                <w:sz w:val="16"/>
                <w:szCs w:val="16"/>
              </w:rPr>
              <w:lastRenderedPageBreak/>
              <w:t>一份煎蛋三明治，三者之間的數量關係為2：1：1。(1)如果有三片吐司麵包和一個荷包蛋，只能做出一份煎蛋三明治，將剩下一片吐司麵包。(2)兩片吐司麵包和兩個荷包蛋也只能做出一份煎蛋三明治，剩下一個荷包蛋。(3)四片吐司麵包和兩個荷包蛋才能做出兩份煎蛋三明治。</w:t>
            </w:r>
          </w:p>
          <w:p w14:paraId="1F0F6C4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6</w:t>
            </w:r>
            <w:r w:rsidRPr="00CA5264">
              <w:rPr>
                <w:rFonts w:asciiTheme="minorEastAsia" w:hAnsiTheme="minorEastAsia" w:hint="eastAsia"/>
                <w:sz w:val="16"/>
                <w:szCs w:val="16"/>
              </w:rPr>
              <w:t>. 說明反應物的量會影響到生成物，如果反應物太多，無法反應完會剩下來。</w:t>
            </w:r>
          </w:p>
          <w:p w14:paraId="2DB9934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7</w:t>
            </w:r>
            <w:r w:rsidRPr="00CA5264">
              <w:rPr>
                <w:rFonts w:asciiTheme="minorEastAsia" w:hAnsiTheme="minorEastAsia" w:hint="eastAsia"/>
                <w:sz w:val="16"/>
                <w:szCs w:val="16"/>
              </w:rPr>
              <w:t>. 舉例碳燃燒生成二氧化碳的化學反應式，說明反應物質量與生成物質量的關係，再以例子說明質量守恆定律。</w:t>
            </w:r>
          </w:p>
          <w:p w14:paraId="43538FB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8</w:t>
            </w:r>
            <w:r w:rsidRPr="00CA5264">
              <w:rPr>
                <w:rFonts w:asciiTheme="minorEastAsia" w:hAnsiTheme="minorEastAsia" w:hint="eastAsia"/>
                <w:sz w:val="16"/>
                <w:szCs w:val="16"/>
              </w:rPr>
              <w:t>. 連結「自然暖身操」，使學生了解微觀粒子中「質量」與「數目」的關係。</w:t>
            </w:r>
          </w:p>
        </w:tc>
        <w:tc>
          <w:tcPr>
            <w:tcW w:w="567" w:type="dxa"/>
          </w:tcPr>
          <w:p w14:paraId="77BE1F0C" w14:textId="7DDEB225"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53BA03F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原子與分子模型圖。</w:t>
            </w:r>
          </w:p>
        </w:tc>
        <w:tc>
          <w:tcPr>
            <w:tcW w:w="709" w:type="dxa"/>
          </w:tcPr>
          <w:p w14:paraId="22364D0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1835F7E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紙筆評量</w:t>
            </w:r>
          </w:p>
          <w:p w14:paraId="697379FB"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實作評量</w:t>
            </w:r>
          </w:p>
        </w:tc>
        <w:tc>
          <w:tcPr>
            <w:tcW w:w="709" w:type="dxa"/>
          </w:tcPr>
          <w:p w14:paraId="0E1B8D12" w14:textId="77777777" w:rsidR="00766369" w:rsidRPr="00357257" w:rsidRDefault="00766369" w:rsidP="00F55A1B">
            <w:pPr>
              <w:topLinePunct/>
              <w:snapToGrid w:val="0"/>
              <w:jc w:val="both"/>
              <w:rPr>
                <w:rFonts w:ascii="新細明體" w:hAnsi="新細明體" w:cs="標楷體"/>
                <w:color w:val="000000"/>
                <w:kern w:val="0"/>
                <w:sz w:val="16"/>
                <w:szCs w:val="16"/>
              </w:rPr>
            </w:pPr>
            <w:r w:rsidRPr="00357257">
              <w:rPr>
                <w:rFonts w:ascii="新細明體" w:hAnsi="新細明體" w:cs="標楷體" w:hint="eastAsia"/>
                <w:color w:val="000000"/>
                <w:kern w:val="0"/>
                <w:sz w:val="16"/>
                <w:szCs w:val="16"/>
              </w:rPr>
              <w:t>【科技教育】</w:t>
            </w:r>
          </w:p>
          <w:p w14:paraId="51FF9AD1"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55E3355E" w14:textId="77777777" w:rsidR="00766369" w:rsidRPr="00357257" w:rsidRDefault="00766369" w:rsidP="00F55A1B">
            <w:pPr>
              <w:topLinePunct/>
              <w:snapToGrid w:val="0"/>
              <w:jc w:val="both"/>
              <w:rPr>
                <w:rFonts w:ascii="新細明體" w:hAnsi="新細明體" w:cs="標楷體"/>
                <w:color w:val="000000"/>
                <w:kern w:val="0"/>
                <w:sz w:val="16"/>
                <w:szCs w:val="16"/>
              </w:rPr>
            </w:pPr>
            <w:r w:rsidRPr="00357257">
              <w:rPr>
                <w:rFonts w:ascii="新細明體" w:hAnsi="新細明體" w:hint="eastAsia"/>
                <w:sz w:val="16"/>
                <w:szCs w:val="16"/>
              </w:rPr>
              <w:t>科E4</w:t>
            </w:r>
            <w:r w:rsidRPr="00357257">
              <w:rPr>
                <w:rFonts w:ascii="新細明體" w:hAnsi="新細明體"/>
                <w:sz w:val="16"/>
                <w:szCs w:val="16"/>
              </w:rPr>
              <w:t>:</w:t>
            </w:r>
            <w:r w:rsidRPr="00357257">
              <w:rPr>
                <w:rFonts w:ascii="新細明體" w:hAnsi="新細明體" w:hint="eastAsia"/>
                <w:sz w:val="16"/>
                <w:szCs w:val="16"/>
              </w:rPr>
              <w:t>體會動手實作的樂趣，並養成正向的科技態度。</w:t>
            </w:r>
          </w:p>
        </w:tc>
        <w:tc>
          <w:tcPr>
            <w:tcW w:w="850" w:type="dxa"/>
            <w:shd w:val="clear" w:color="auto" w:fill="auto"/>
          </w:tcPr>
          <w:p w14:paraId="0883312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2C00EB53"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2D42CAA2" w14:textId="77777777" w:rsidTr="00ED18E0">
        <w:tc>
          <w:tcPr>
            <w:tcW w:w="539" w:type="dxa"/>
          </w:tcPr>
          <w:p w14:paraId="422278F3"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三</w:t>
            </w:r>
          </w:p>
        </w:tc>
        <w:tc>
          <w:tcPr>
            <w:tcW w:w="709" w:type="dxa"/>
          </w:tcPr>
          <w:p w14:paraId="3F86C6FD"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3/1-3/5</w:t>
            </w:r>
          </w:p>
        </w:tc>
        <w:tc>
          <w:tcPr>
            <w:tcW w:w="709" w:type="dxa"/>
          </w:tcPr>
          <w:p w14:paraId="308CA10B"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第2章氧化與還原</w:t>
            </w:r>
          </w:p>
        </w:tc>
        <w:tc>
          <w:tcPr>
            <w:tcW w:w="709" w:type="dxa"/>
          </w:tcPr>
          <w:p w14:paraId="1E0AE144"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2．1氧化反應</w:t>
            </w:r>
          </w:p>
        </w:tc>
        <w:tc>
          <w:tcPr>
            <w:tcW w:w="708" w:type="dxa"/>
          </w:tcPr>
          <w:p w14:paraId="22709F0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5590D72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309A112A"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B2:科技資訊與媒體素養</w:t>
            </w:r>
          </w:p>
        </w:tc>
        <w:tc>
          <w:tcPr>
            <w:tcW w:w="1737" w:type="dxa"/>
          </w:tcPr>
          <w:p w14:paraId="21913B9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BA9018D"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7DAD604D"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w:t>
            </w:r>
            <w:r w:rsidRPr="00CA5264">
              <w:rPr>
                <w:rFonts w:ascii="新細明體" w:eastAsia="新細明體" w:hAnsi="新細明體" w:hint="eastAsia"/>
                <w:snapToGrid w:val="0"/>
                <w:color w:val="auto"/>
                <w:sz w:val="16"/>
                <w:szCs w:val="16"/>
              </w:rPr>
              <w:lastRenderedPageBreak/>
              <w:t>訊。</w:t>
            </w:r>
          </w:p>
        </w:tc>
        <w:tc>
          <w:tcPr>
            <w:tcW w:w="1240" w:type="dxa"/>
          </w:tcPr>
          <w:p w14:paraId="7F54614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pe-Ⅳ-2:能正確安全操作適合學習階段的物品、器材儀器、科技設備及資源。能進行客觀的質性觀察或數值量測並詳實記錄。</w:t>
            </w:r>
          </w:p>
        </w:tc>
        <w:tc>
          <w:tcPr>
            <w:tcW w:w="1101" w:type="dxa"/>
          </w:tcPr>
          <w:p w14:paraId="6324016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Jc-Ⅳ-2:物質燃燒實驗認識氧化。</w:t>
            </w:r>
          </w:p>
          <w:p w14:paraId="7756EA4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Jc-Ⅳ-3:不同金屬元素燃燒實驗認識元素對氧氣的活性。</w:t>
            </w:r>
          </w:p>
          <w:p w14:paraId="5C670E3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Jd-Ⅳ-1:金屬與非金屬氧化物在水溶液中的酸鹼性，及酸性溶液對金屬與大理石的反應。</w:t>
            </w:r>
          </w:p>
        </w:tc>
        <w:tc>
          <w:tcPr>
            <w:tcW w:w="1171" w:type="dxa"/>
          </w:tcPr>
          <w:p w14:paraId="7899659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藉由鈉與硫的燃燒與氧化物水溶液酸鹼性認識氧化。從硫燃燒產生刺鼻的二氧化硫連結到空氣品質議題。</w:t>
            </w:r>
          </w:p>
          <w:p w14:paraId="2FDA42BE"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藉由鎂、鋅、銅等元素燃燒時的難易程度，認識元素對氧活性的不同。</w:t>
            </w:r>
          </w:p>
        </w:tc>
        <w:tc>
          <w:tcPr>
            <w:tcW w:w="2973" w:type="dxa"/>
            <w:shd w:val="clear" w:color="auto" w:fill="auto"/>
          </w:tcPr>
          <w:p w14:paraId="633F4F8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以「自然暖身操」為例引入，提問：脫氧劑的功能是什麼呢？為什麼會發熱？</w:t>
            </w:r>
          </w:p>
          <w:p w14:paraId="0EDC074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以燃燒匙盛裝鈉金屬加熱燃燒，觀察鈉的氧化反應，並說明鈉的氧化反應式，配合示範實驗講解反應時的現象以及產物名稱。利用紅、藍色石蕊試紙檢測並說明氧化鈉溶於水後的酸鹼性。提問學生鈉燃燒反應中，鈉的氧化反應產物—氧化鈉，及其溶於水後的性質。</w:t>
            </w:r>
          </w:p>
          <w:p w14:paraId="2A10F37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以燃燒匙盛裝硫粉加熱燃燒，觀察硫的氧化反應，並說明硫的氧化反應式，配合示範實驗講解反應時的現象以及產物名稱。利用紅、藍石蕊試紙檢測並說明二氧化硫溶於水後的酸鹼性。提問學生硫的氧化反應式，及燃燒後的產物—二氧化硫，和其溶於水後的性質。</w:t>
            </w:r>
          </w:p>
          <w:p w14:paraId="6758AB3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說明金屬氧化物與非金屬氧化物的意義，並分別舉例說明金屬氧化物的共通性與非金屬氧化物的共通性。請學生舉例金屬氧化物及非金屬氧化物的物質，以及兩者的共通性。</w:t>
            </w:r>
          </w:p>
          <w:p w14:paraId="4FAD436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向學生說明元素對氧活性大小的意義。</w:t>
            </w:r>
          </w:p>
          <w:p w14:paraId="44FFD23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講述鈉、鐵等活性較大的金屬，其氧化反應的現象；而活性小的白金、黃金，為何可以耐久不變質。</w:t>
            </w:r>
          </w:p>
          <w:p w14:paraId="25311F6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實驗開始前，應檢視講桌上的器材與藥品是否完備，以利教學活動的順暢。</w:t>
            </w:r>
          </w:p>
          <w:p w14:paraId="688DFFC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8. 進行步驟1的操作，學生前來領取鎂帶時，提醒學生燃燒鎂帶前需注意的地方。實驗後可提問學生，鎂帶燃燒及燃燒產物等現象的觀察。</w:t>
            </w:r>
          </w:p>
          <w:p w14:paraId="2A99E42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步驟3學生拿燃燒匙前來領取鋅粉，提醒鋅粉的使用量約半刮勺即可，因過量的鋅粉，在加熱後以針撥開外層的氧化物時，容易掉落損壞桌面。鋅粉燃燒時的火焰不易觀察，可關閉燈光以利觀察到黃綠色火焰。實驗後提問觀察鋅粉燃燒的現象時，用針撥開外層的氧化物，內部鋅粉又燃燒起來的原因。</w:t>
            </w:r>
          </w:p>
          <w:p w14:paraId="6CD1D5B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進行步驟5的操作，學生拿燃燒匙前來領取銅粉，應提醒學生銅粉的取量約半刮勺即可。實驗後可提問學生，銅粉加熱是否可燃燒？銅粉加熱後有何變化？</w:t>
            </w:r>
          </w:p>
          <w:p w14:paraId="49001CB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可請各組學生發表實驗的問題與討論。</w:t>
            </w:r>
          </w:p>
          <w:p w14:paraId="2459F5C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回顧實驗活動鎂、鋅、銅加熱時的變化、產物名稱及現象，由燃燒的難易程度推論鎂、鋅、銅對氧的活性大小。可提問學生，比較鎂、鋅、銅燃燒的難易程度與活性大小。</w:t>
            </w:r>
          </w:p>
          <w:p w14:paraId="2A371C6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說明元素對氧活性大小的意義，並透過實驗結果，說明燃燒的難易程度代表物質對氧活性大小的差異。</w:t>
            </w:r>
          </w:p>
          <w:p w14:paraId="1F4962F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連結「自然暖身操」提問，讓學生了解脫氧劑的原理。</w:t>
            </w:r>
          </w:p>
        </w:tc>
        <w:tc>
          <w:tcPr>
            <w:tcW w:w="567" w:type="dxa"/>
          </w:tcPr>
          <w:p w14:paraId="5D66D634" w14:textId="3B40DE47"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4D346A5F"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實驗所需器材與藥品：燃燒匙、酒精燈、小燒杯、廣口瓶、玻璃片、小刀、石蕊試紙、鈉金屬、硫粉。</w:t>
            </w:r>
          </w:p>
        </w:tc>
        <w:tc>
          <w:tcPr>
            <w:tcW w:w="709" w:type="dxa"/>
          </w:tcPr>
          <w:p w14:paraId="6EE1A46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616D518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紙筆評量</w:t>
            </w:r>
          </w:p>
          <w:p w14:paraId="39DE360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實作評量</w:t>
            </w:r>
          </w:p>
        </w:tc>
        <w:tc>
          <w:tcPr>
            <w:tcW w:w="709" w:type="dxa"/>
          </w:tcPr>
          <w:p w14:paraId="1CCAD5E0" w14:textId="77777777" w:rsidR="00766369" w:rsidRPr="00357257" w:rsidRDefault="00766369" w:rsidP="00F55A1B">
            <w:pPr>
              <w:pStyle w:val="Default"/>
              <w:topLinePunct/>
              <w:autoSpaceDE/>
              <w:autoSpaceDN/>
              <w:snapToGrid w:val="0"/>
              <w:jc w:val="both"/>
              <w:rPr>
                <w:rFonts w:ascii="新細明體" w:hAnsi="新細明體"/>
                <w:color w:val="auto"/>
                <w:sz w:val="16"/>
                <w:szCs w:val="16"/>
              </w:rPr>
            </w:pPr>
            <w:r w:rsidRPr="00357257">
              <w:rPr>
                <w:rFonts w:ascii="新細明體" w:hAnsi="新細明體" w:hint="eastAsia"/>
                <w:color w:val="auto"/>
                <w:sz w:val="16"/>
                <w:szCs w:val="16"/>
              </w:rPr>
              <w:t>【環境教育】</w:t>
            </w:r>
          </w:p>
          <w:p w14:paraId="2C7BC27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環J7:透過「碳循環」，了解化石燃料與溫室氣體、全球暖化、及氣候變遷的關係。</w:t>
            </w:r>
          </w:p>
          <w:p w14:paraId="22E07C77"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環J14:了解能量流動及物質循環與生態系統運作的關係。</w:t>
            </w:r>
          </w:p>
        </w:tc>
        <w:tc>
          <w:tcPr>
            <w:tcW w:w="850" w:type="dxa"/>
            <w:shd w:val="clear" w:color="auto" w:fill="auto"/>
          </w:tcPr>
          <w:p w14:paraId="1913B946"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24B77651"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119D549D" w14:textId="77777777" w:rsidTr="00ED18E0">
        <w:tc>
          <w:tcPr>
            <w:tcW w:w="539" w:type="dxa"/>
          </w:tcPr>
          <w:p w14:paraId="76646E15"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四</w:t>
            </w:r>
          </w:p>
        </w:tc>
        <w:tc>
          <w:tcPr>
            <w:tcW w:w="709" w:type="dxa"/>
          </w:tcPr>
          <w:p w14:paraId="05E0158B"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3/8-3/12</w:t>
            </w:r>
          </w:p>
        </w:tc>
        <w:tc>
          <w:tcPr>
            <w:tcW w:w="709" w:type="dxa"/>
          </w:tcPr>
          <w:p w14:paraId="00A716FE"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第2章氧化與還原、第3章電解質與酸鹼反應</w:t>
            </w:r>
          </w:p>
        </w:tc>
        <w:tc>
          <w:tcPr>
            <w:tcW w:w="709" w:type="dxa"/>
          </w:tcPr>
          <w:p w14:paraId="2529C92B"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2．2氧化與還原反應、3．1認識電解質</w:t>
            </w:r>
          </w:p>
        </w:tc>
        <w:tc>
          <w:tcPr>
            <w:tcW w:w="708" w:type="dxa"/>
          </w:tcPr>
          <w:p w14:paraId="4F17479F"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4B236B4D"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28D84489"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0BCA144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627815AB"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lastRenderedPageBreak/>
              <w:t>B2:科技資訊與媒體素養</w:t>
            </w:r>
          </w:p>
        </w:tc>
        <w:tc>
          <w:tcPr>
            <w:tcW w:w="1737" w:type="dxa"/>
          </w:tcPr>
          <w:p w14:paraId="33E43E54"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lastRenderedPageBreak/>
              <w:t>自-J-A1:能應用科學知識、方法與態度於日常生活當中。</w:t>
            </w:r>
          </w:p>
          <w:p w14:paraId="5637E3F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3932926A"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w:t>
            </w:r>
            <w:r w:rsidRPr="00CA5264">
              <w:rPr>
                <w:rFonts w:ascii="新細明體" w:eastAsia="新細明體" w:hAnsi="新細明體" w:hint="eastAsia"/>
                <w:snapToGrid w:val="0"/>
                <w:sz w:val="16"/>
                <w:szCs w:val="16"/>
              </w:rPr>
              <w:lastRenderedPageBreak/>
              <w:t>並能根據問題特性、資源等因素，善用生活週遭的物品、器材儀器、科技設備及資源，規劃自然科學探究活動。</w:t>
            </w:r>
          </w:p>
          <w:p w14:paraId="6427D21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66B461B3"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tc>
        <w:tc>
          <w:tcPr>
            <w:tcW w:w="1240" w:type="dxa"/>
          </w:tcPr>
          <w:p w14:paraId="3114EE9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w:t>
            </w:r>
            <w:r w:rsidRPr="00CA5264">
              <w:rPr>
                <w:rFonts w:asciiTheme="minorEastAsia" w:hAnsiTheme="minorEastAsia"/>
                <w:sz w:val="16"/>
                <w:szCs w:val="16"/>
              </w:rPr>
              <w:lastRenderedPageBreak/>
              <w:t>確認結果。</w:t>
            </w:r>
          </w:p>
          <w:p w14:paraId="0B11D32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-1:能從學習活動、日常經驗及科技運用、自然環境、書刊及網路媒體中，進行各種有計畫的觀察，進而能察覺問題。</w:t>
            </w:r>
          </w:p>
          <w:p w14:paraId="45DF214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tc-</w:t>
            </w:r>
            <w:r w:rsidRPr="00CA5264">
              <w:rPr>
                <w:rFonts w:asciiTheme="minorEastAsia" w:hAnsiTheme="minorEastAsia" w:hint="eastAsia"/>
                <w:sz w:val="16"/>
                <w:szCs w:val="16"/>
              </w:rPr>
              <w:t>Ⅳ</w:t>
            </w:r>
            <w:r w:rsidRPr="00CA5264">
              <w:rPr>
                <w:rFonts w:asciiTheme="minorEastAsia" w:hAnsiTheme="minorEastAsia"/>
                <w:sz w:val="16"/>
                <w:szCs w:val="16"/>
              </w:rPr>
              <w:t>-1:能依據已知的自然科學知識與概念，對自己蒐集與分類的科學數據，抱持合理的懷疑態度，並對他人的資訊或報告，提出自己的看法或解釋。</w:t>
            </w:r>
          </w:p>
          <w:p w14:paraId="1C0CF9B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-2:能辨別適合科學探究或適合以科學方式尋求解決的問題（或假說），並能依據觀察、蒐集資料、閱讀、思考、討論等，提出適宜探究之問題。</w:t>
            </w:r>
          </w:p>
          <w:p w14:paraId="38D48F3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tc>
        <w:tc>
          <w:tcPr>
            <w:tcW w:w="1101" w:type="dxa"/>
          </w:tcPr>
          <w:p w14:paraId="4D85F6A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Jc-</w:t>
            </w:r>
            <w:r w:rsidRPr="00CA5264">
              <w:rPr>
                <w:rFonts w:asciiTheme="minorEastAsia" w:hAnsiTheme="minorEastAsia" w:hint="eastAsia"/>
                <w:sz w:val="16"/>
                <w:szCs w:val="16"/>
              </w:rPr>
              <w:t>Ⅳ</w:t>
            </w:r>
            <w:r w:rsidRPr="00CA5264">
              <w:rPr>
                <w:rFonts w:asciiTheme="minorEastAsia" w:hAnsiTheme="minorEastAsia"/>
                <w:sz w:val="16"/>
                <w:szCs w:val="16"/>
              </w:rPr>
              <w:t>-1:氧化與還原的狹義定義為：物質得到氧稱為氧化反應；失去氧稱為還原反應。</w:t>
            </w:r>
          </w:p>
          <w:p w14:paraId="275388A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Jc-</w:t>
            </w:r>
            <w:r w:rsidRPr="00CA5264">
              <w:rPr>
                <w:rFonts w:asciiTheme="minorEastAsia" w:hAnsiTheme="minorEastAsia" w:hint="eastAsia"/>
                <w:sz w:val="16"/>
                <w:szCs w:val="16"/>
              </w:rPr>
              <w:t>Ⅳ</w:t>
            </w:r>
            <w:r w:rsidRPr="00CA5264">
              <w:rPr>
                <w:rFonts w:asciiTheme="minorEastAsia" w:hAnsiTheme="minorEastAsia"/>
                <w:sz w:val="16"/>
                <w:szCs w:val="16"/>
              </w:rPr>
              <w:t>-</w:t>
            </w:r>
            <w:r w:rsidRPr="00CA5264">
              <w:rPr>
                <w:rFonts w:asciiTheme="minorEastAsia" w:hAnsiTheme="minorEastAsia" w:hint="eastAsia"/>
                <w:sz w:val="16"/>
                <w:szCs w:val="16"/>
              </w:rPr>
              <w:t>4</w:t>
            </w:r>
            <w:r w:rsidRPr="00CA5264">
              <w:rPr>
                <w:rFonts w:asciiTheme="minorEastAsia" w:hAnsiTheme="minorEastAsia"/>
                <w:sz w:val="16"/>
                <w:szCs w:val="16"/>
              </w:rPr>
              <w:t>:生活中常見的氧化還原反應</w:t>
            </w:r>
            <w:r w:rsidRPr="00CA5264">
              <w:rPr>
                <w:rFonts w:asciiTheme="minorEastAsia" w:hAnsiTheme="minorEastAsia" w:hint="eastAsia"/>
                <w:sz w:val="16"/>
                <w:szCs w:val="16"/>
              </w:rPr>
              <w:t>與</w:t>
            </w:r>
            <w:r w:rsidRPr="00CA5264">
              <w:rPr>
                <w:rFonts w:asciiTheme="minorEastAsia" w:hAnsiTheme="minorEastAsia"/>
                <w:sz w:val="16"/>
                <w:szCs w:val="16"/>
              </w:rPr>
              <w:t>應用。</w:t>
            </w:r>
          </w:p>
          <w:p w14:paraId="4AAE6CC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Ca-</w:t>
            </w:r>
            <w:r w:rsidRPr="00CA5264">
              <w:rPr>
                <w:rFonts w:asciiTheme="minorEastAsia" w:hAnsiTheme="minorEastAsia" w:hint="eastAsia"/>
                <w:sz w:val="16"/>
                <w:szCs w:val="16"/>
              </w:rPr>
              <w:t>Ⅳ</w:t>
            </w:r>
            <w:r w:rsidRPr="00CA5264">
              <w:rPr>
                <w:rFonts w:asciiTheme="minorEastAsia" w:hAnsiTheme="minorEastAsia"/>
                <w:sz w:val="16"/>
                <w:szCs w:val="16"/>
              </w:rPr>
              <w:t>-2:化合物可利用化學性質來鑑定。</w:t>
            </w:r>
          </w:p>
          <w:p w14:paraId="208FB64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Jb-</w:t>
            </w:r>
            <w:r w:rsidRPr="00CA5264">
              <w:rPr>
                <w:rFonts w:asciiTheme="minorEastAsia" w:hAnsiTheme="minorEastAsia" w:hint="eastAsia"/>
                <w:sz w:val="16"/>
                <w:szCs w:val="16"/>
              </w:rPr>
              <w:t>Ⅳ</w:t>
            </w:r>
            <w:r w:rsidRPr="00CA5264">
              <w:rPr>
                <w:rFonts w:asciiTheme="minorEastAsia" w:hAnsiTheme="minorEastAsia"/>
                <w:sz w:val="16"/>
                <w:szCs w:val="16"/>
              </w:rPr>
              <w:t>-1:由水</w:t>
            </w:r>
            <w:r w:rsidRPr="00CA5264">
              <w:rPr>
                <w:rFonts w:asciiTheme="minorEastAsia" w:hAnsiTheme="minorEastAsia"/>
                <w:sz w:val="16"/>
                <w:szCs w:val="16"/>
              </w:rPr>
              <w:lastRenderedPageBreak/>
              <w:t>溶液導電的實驗認識電解質與非電解質。</w:t>
            </w:r>
          </w:p>
          <w:p w14:paraId="4451A806"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Jb-</w:t>
            </w:r>
            <w:r w:rsidRPr="00CA5264">
              <w:rPr>
                <w:rFonts w:asciiTheme="minorEastAsia" w:hAnsiTheme="minorEastAsia" w:hint="eastAsia"/>
                <w:sz w:val="16"/>
                <w:szCs w:val="16"/>
              </w:rPr>
              <w:t>Ⅳ</w:t>
            </w:r>
            <w:r w:rsidRPr="00CA5264">
              <w:rPr>
                <w:rFonts w:asciiTheme="minorEastAsia" w:hAnsiTheme="minorEastAsia"/>
                <w:sz w:val="16"/>
                <w:szCs w:val="16"/>
              </w:rPr>
              <w:t>-2:電解質在水溶液中會解離出陰離子和陽離子而導電。</w:t>
            </w:r>
          </w:p>
        </w:tc>
        <w:tc>
          <w:tcPr>
            <w:tcW w:w="1171" w:type="dxa"/>
          </w:tcPr>
          <w:p w14:paraId="0BA7D84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1. 以鎂與CO</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、碳與CuO燃燒實驗為例，了解氧的得失，說明何謂氧化還原反應。</w:t>
            </w:r>
          </w:p>
          <w:p w14:paraId="4120FD6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以鐵生鏽說明生活中常見的氧化還原反應。</w:t>
            </w:r>
          </w:p>
          <w:p w14:paraId="29A70C1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以呼吸作用、光合作用，說明生活中常見的氧化還原反應。</w:t>
            </w:r>
          </w:p>
          <w:p w14:paraId="088707B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4. 簡述漂白水消毒。</w:t>
            </w:r>
          </w:p>
          <w:p w14:paraId="3F3F2CD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以LED燈檢驗純水、食鹽水、糖水、醋酸及氫氧化鈉水溶液等的導電性不同，辨別電解質與非電解質的差別。</w:t>
            </w:r>
          </w:p>
          <w:p w14:paraId="75A8845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藉由「電解質水溶液會導電」，認識電離說與陰、陽離子。</w:t>
            </w:r>
          </w:p>
        </w:tc>
        <w:tc>
          <w:tcPr>
            <w:tcW w:w="2973" w:type="dxa"/>
            <w:shd w:val="clear" w:color="auto" w:fill="auto"/>
          </w:tcPr>
          <w:p w14:paraId="5CE9824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1. 討論金屬火災中不同的處理方法，思考原因。</w:t>
            </w:r>
          </w:p>
          <w:p w14:paraId="0536B54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講述鎂帶在二氧化碳中燃燒的現象，可試著寫出鎂在二氧化碳中燃燒的反應式，並以鎂在二氧化碳中燃燒的反應式，說明鎂對氧的活性大於碳。</w:t>
            </w:r>
          </w:p>
          <w:p w14:paraId="1ED5517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觀察例題圖片，並說出碳粉和氧化銅反應後有何現象？同時寫出碳和氧化銅共熱時的反應式。</w:t>
            </w:r>
          </w:p>
          <w:p w14:paraId="78A21E0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利用鎂和二氧化碳或是碳和氧化銅的反應式，說明氧化反應、還原反應的意義。</w:t>
            </w:r>
          </w:p>
          <w:p w14:paraId="7E68269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活性大的元素能從氧化物中，把活性小的元素取代出來；而活性小的元素不能從氧化物中，把活性大的元素取代出來。</w:t>
            </w:r>
          </w:p>
          <w:p w14:paraId="7C9EA7A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6. 利用例題複習金屬對氧的活性與氧化還原反應的概念。</w:t>
            </w:r>
          </w:p>
          <w:p w14:paraId="6D92C8A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以光合作用、燃燒等概念說明氧化還原反應廣泛存在生活中。</w:t>
            </w:r>
          </w:p>
          <w:p w14:paraId="3328627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說明生活中大多數金屬例如鐵和鉛等，多以化合物的狀態存在礦石中。</w:t>
            </w:r>
          </w:p>
          <w:p w14:paraId="2F5576A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說明從礦石中提煉金屬元素的過程稱作冶煉，冶煉是把礦石中的金屬還原出來。</w:t>
            </w:r>
          </w:p>
          <w:p w14:paraId="7CB6745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說明碳為何能還原鐵和鉛等的金屬礦，說出冶煉的原理。</w:t>
            </w:r>
          </w:p>
          <w:p w14:paraId="7E9AB90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說明常見的氧化還原反應：(1)鐵生鏽反應式：4Fe＋3O</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→2Fe2O</w:t>
            </w:r>
            <w:r w:rsidRPr="00CA5264">
              <w:rPr>
                <w:rFonts w:asciiTheme="minorEastAsia" w:hAnsiTheme="minorEastAsia" w:hint="eastAsia"/>
                <w:sz w:val="16"/>
                <w:szCs w:val="16"/>
                <w:vertAlign w:val="subscript"/>
              </w:rPr>
              <w:t>3</w:t>
            </w:r>
            <w:r w:rsidRPr="00CA5264">
              <w:rPr>
                <w:rFonts w:asciiTheme="minorEastAsia" w:hAnsiTheme="minorEastAsia" w:hint="eastAsia"/>
                <w:sz w:val="16"/>
                <w:szCs w:val="16"/>
              </w:rPr>
              <w:t>(2)呼吸作用反應式：C</w:t>
            </w:r>
            <w:r w:rsidRPr="00CA5264">
              <w:rPr>
                <w:rFonts w:asciiTheme="minorEastAsia" w:hAnsiTheme="minorEastAsia" w:hint="eastAsia"/>
                <w:sz w:val="16"/>
                <w:szCs w:val="16"/>
                <w:vertAlign w:val="subscript"/>
              </w:rPr>
              <w:t>6</w:t>
            </w:r>
            <w:r w:rsidRPr="00CA5264">
              <w:rPr>
                <w:rFonts w:asciiTheme="minorEastAsia" w:hAnsiTheme="minorEastAsia" w:hint="eastAsia"/>
                <w:sz w:val="16"/>
                <w:szCs w:val="16"/>
              </w:rPr>
              <w:t>H</w:t>
            </w:r>
            <w:r w:rsidRPr="00CA5264">
              <w:rPr>
                <w:rFonts w:asciiTheme="minorEastAsia" w:hAnsiTheme="minorEastAsia" w:hint="eastAsia"/>
                <w:sz w:val="16"/>
                <w:szCs w:val="16"/>
                <w:vertAlign w:val="subscript"/>
              </w:rPr>
              <w:t>12</w:t>
            </w:r>
            <w:r w:rsidRPr="00CA5264">
              <w:rPr>
                <w:rFonts w:asciiTheme="minorEastAsia" w:hAnsiTheme="minorEastAsia" w:hint="eastAsia"/>
                <w:sz w:val="16"/>
                <w:szCs w:val="16"/>
              </w:rPr>
              <w:t>O</w:t>
            </w:r>
            <w:r w:rsidRPr="00CA5264">
              <w:rPr>
                <w:rFonts w:asciiTheme="minorEastAsia" w:hAnsiTheme="minorEastAsia" w:hint="eastAsia"/>
                <w:sz w:val="16"/>
                <w:szCs w:val="16"/>
                <w:vertAlign w:val="subscript"/>
              </w:rPr>
              <w:t>6</w:t>
            </w:r>
            <w:r w:rsidRPr="00CA5264">
              <w:rPr>
                <w:rFonts w:asciiTheme="minorEastAsia" w:hAnsiTheme="minorEastAsia" w:hint="eastAsia"/>
                <w:sz w:val="16"/>
                <w:szCs w:val="16"/>
              </w:rPr>
              <w:t>＋6O</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→6CO</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＋6H</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O＋能量(3)漂白劑可消除沾染在白色衣物上其他顏色的物質。(4)用二氧化硫來漂白竹筷。(5)抗氧化劑是減緩食品的氧化，以延長保存期限。</w:t>
            </w:r>
          </w:p>
          <w:p w14:paraId="10B8FFA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講解二氧化硫漂白金針時，可特別說明二氧化硫可殺菌，但因具有毒性，長期食用對身體有害，特別是有過敏體質的人可能會氣喘、腸胃炎或腹瀉，因此需注意使用劑量以及避免採購過度漂白的食品與餐具。而食物在烹飪前可以清水反覆沖洗並浸泡30分鐘，以除去一些可溶於水的毒性物質。</w:t>
            </w:r>
          </w:p>
          <w:p w14:paraId="2434C03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連結「自然暖身操」提問，了解根據金屬的活性，需採用不同的滅火方式，可進一步搜尋鋰金屬火災的滅火策略。</w:t>
            </w:r>
          </w:p>
          <w:p w14:paraId="16BE3B2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以「自然暖身操」為例引入，提問：什麼是電解質呢？</w:t>
            </w:r>
          </w:p>
          <w:p w14:paraId="1AEFD36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說明LED燈是否發亮所代表的意義。</w:t>
            </w:r>
          </w:p>
          <w:p w14:paraId="7D8D216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更換測試溶液時先以蒸餾水沖洗石墨棒，並提問以蒸餾水沖洗電極的目的。</w:t>
            </w:r>
          </w:p>
          <w:p w14:paraId="2A466AB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17. 說明石蕊試紙檢測物質酸鹼性的方法與顏色變化的意義。</w:t>
            </w:r>
          </w:p>
          <w:p w14:paraId="6A78DEA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18. 使用過的玻璃棒須用蒸餾水沖洗以保持乾淨，並避免玻璃棒汙染試紙。</w:t>
            </w:r>
          </w:p>
          <w:p w14:paraId="3A025CE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19. 實驗後的食品不可再食用。</w:t>
            </w:r>
          </w:p>
          <w:p w14:paraId="07B3A2A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20. 請學生回答「分析結果」的內容及分享實驗心得。</w:t>
            </w:r>
          </w:p>
          <w:p w14:paraId="117491A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21. 利用實驗活動的觀察，引導學生對電解質與非電解質下定義。</w:t>
            </w:r>
          </w:p>
          <w:p w14:paraId="40038B9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22. 說明溶於水可以導電的物質為電解質；溶於水不能導電的物質為非電解質。</w:t>
            </w:r>
          </w:p>
          <w:p w14:paraId="630F830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23. 說明電解質涵蓋了酸性、中性與鹼性溶液。</w:t>
            </w:r>
          </w:p>
        </w:tc>
        <w:tc>
          <w:tcPr>
            <w:tcW w:w="567" w:type="dxa"/>
          </w:tcPr>
          <w:p w14:paraId="6522E648" w14:textId="79CAFE22"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06E9353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實驗器材與藥品。</w:t>
            </w:r>
          </w:p>
          <w:p w14:paraId="3BAB6FC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生活中常見的酸鹼物質（如肥皂、果汁、汽水、清潔劑）。</w:t>
            </w:r>
          </w:p>
          <w:p w14:paraId="3AEADA6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阿瑞尼斯相關介紹資料。</w:t>
            </w:r>
          </w:p>
        </w:tc>
        <w:tc>
          <w:tcPr>
            <w:tcW w:w="709" w:type="dxa"/>
          </w:tcPr>
          <w:p w14:paraId="5EC8E64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5C37E5BF"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tc>
        <w:tc>
          <w:tcPr>
            <w:tcW w:w="709" w:type="dxa"/>
          </w:tcPr>
          <w:p w14:paraId="6775BF0E" w14:textId="77777777" w:rsidR="00766369" w:rsidRPr="00357257" w:rsidRDefault="00766369" w:rsidP="00F55A1B">
            <w:pPr>
              <w:pStyle w:val="Default"/>
              <w:topLinePunct/>
              <w:autoSpaceDE/>
              <w:autoSpaceDN/>
              <w:snapToGrid w:val="0"/>
              <w:jc w:val="both"/>
              <w:rPr>
                <w:rFonts w:ascii="新細明體" w:hAnsi="新細明體"/>
                <w:color w:val="auto"/>
                <w:sz w:val="16"/>
                <w:szCs w:val="16"/>
              </w:rPr>
            </w:pPr>
            <w:r w:rsidRPr="00357257">
              <w:rPr>
                <w:rFonts w:ascii="新細明體" w:hAnsi="新細明體" w:hint="eastAsia"/>
                <w:color w:val="auto"/>
                <w:sz w:val="16"/>
                <w:szCs w:val="16"/>
              </w:rPr>
              <w:t>【環境教育】</w:t>
            </w:r>
          </w:p>
          <w:p w14:paraId="2B2F60CB" w14:textId="77777777" w:rsidR="00766369" w:rsidRPr="00357257" w:rsidRDefault="00766369" w:rsidP="00F55A1B">
            <w:pPr>
              <w:pStyle w:val="Default"/>
              <w:topLinePunct/>
              <w:autoSpaceDE/>
              <w:autoSpaceDN/>
              <w:snapToGrid w:val="0"/>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環J7:透過「碳循環」，了解化石燃料與溫室氣體、全球暖化、及氣候變遷的關係。</w:t>
            </w:r>
          </w:p>
          <w:p w14:paraId="53A10404" w14:textId="77777777" w:rsidR="00766369" w:rsidRPr="00357257" w:rsidRDefault="00766369" w:rsidP="00F55A1B">
            <w:pPr>
              <w:pStyle w:val="Default"/>
              <w:topLinePunct/>
              <w:autoSpaceDE/>
              <w:autoSpaceDN/>
              <w:snapToGrid w:val="0"/>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環J14:</w:t>
            </w:r>
            <w:r w:rsidRPr="00357257">
              <w:rPr>
                <w:rFonts w:ascii="新細明體" w:hAnsi="新細明體" w:cs="Times New Roman" w:hint="eastAsia"/>
                <w:color w:val="auto"/>
                <w:kern w:val="2"/>
                <w:sz w:val="16"/>
                <w:szCs w:val="16"/>
              </w:rPr>
              <w:lastRenderedPageBreak/>
              <w:t>了解能量流動及物質循環與生態系統運作的關係。</w:t>
            </w:r>
          </w:p>
          <w:p w14:paraId="6323F71A"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75CB7EA1"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1AC5CCB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314A72D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1024D2C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p w14:paraId="6FB74EB2"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【安全教育】</w:t>
            </w:r>
          </w:p>
          <w:p w14:paraId="6652EF29"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tc>
        <w:tc>
          <w:tcPr>
            <w:tcW w:w="850" w:type="dxa"/>
            <w:shd w:val="clear" w:color="auto" w:fill="auto"/>
          </w:tcPr>
          <w:p w14:paraId="16ADD256"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lastRenderedPageBreak/>
              <w:t>數學</w:t>
            </w:r>
          </w:p>
          <w:p w14:paraId="256AE9F0"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1C6F1BD8" w14:textId="77777777" w:rsidTr="00ED18E0">
        <w:tc>
          <w:tcPr>
            <w:tcW w:w="539" w:type="dxa"/>
          </w:tcPr>
          <w:p w14:paraId="5BC3B5E5"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lastRenderedPageBreak/>
              <w:t>五</w:t>
            </w:r>
          </w:p>
        </w:tc>
        <w:tc>
          <w:tcPr>
            <w:tcW w:w="709" w:type="dxa"/>
          </w:tcPr>
          <w:p w14:paraId="7E25E821"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9/</w:t>
            </w:r>
            <w:r w:rsidRPr="00CA5264">
              <w:rPr>
                <w:rFonts w:ascii="新細明體" w:eastAsia="新細明體" w:hAnsi="新細明體" w:hint="eastAsia"/>
                <w:snapToGrid w:val="0"/>
                <w:kern w:val="0"/>
                <w:sz w:val="16"/>
                <w:szCs w:val="16"/>
              </w:rPr>
              <w:t>28</w:t>
            </w:r>
            <w:r w:rsidRPr="00CA5264">
              <w:rPr>
                <w:rFonts w:ascii="新細明體" w:eastAsia="新細明體" w:hAnsi="新細明體"/>
                <w:snapToGrid w:val="0"/>
                <w:kern w:val="0"/>
                <w:sz w:val="16"/>
                <w:szCs w:val="16"/>
              </w:rPr>
              <w:t>-10/</w:t>
            </w:r>
            <w:r w:rsidRPr="00CA5264">
              <w:rPr>
                <w:rFonts w:ascii="新細明體" w:eastAsia="新細明體" w:hAnsi="新細明體" w:hint="eastAsia"/>
                <w:snapToGrid w:val="0"/>
                <w:kern w:val="0"/>
                <w:sz w:val="16"/>
                <w:szCs w:val="16"/>
              </w:rPr>
              <w:t>2</w:t>
            </w:r>
          </w:p>
        </w:tc>
        <w:tc>
          <w:tcPr>
            <w:tcW w:w="709" w:type="dxa"/>
          </w:tcPr>
          <w:p w14:paraId="0F47474E"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第3章電解質與酸鹼反應</w:t>
            </w:r>
          </w:p>
        </w:tc>
        <w:tc>
          <w:tcPr>
            <w:tcW w:w="709" w:type="dxa"/>
          </w:tcPr>
          <w:p w14:paraId="3C8744FE"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3．1認識電解質、3．2常見的酸、鹼性物質</w:t>
            </w:r>
          </w:p>
        </w:tc>
        <w:tc>
          <w:tcPr>
            <w:tcW w:w="708" w:type="dxa"/>
          </w:tcPr>
          <w:p w14:paraId="2C6E8CF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28224DD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471061AE"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5A803BB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048067E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4D1DC847" w14:textId="77777777" w:rsidR="00766369" w:rsidRPr="0052708D" w:rsidRDefault="00766369" w:rsidP="00F55A1B">
            <w:pPr>
              <w:snapToGrid w:val="0"/>
              <w:jc w:val="both"/>
              <w:rPr>
                <w:rFonts w:asciiTheme="minorEastAsia" w:hAnsiTheme="minorEastAsia"/>
                <w:sz w:val="16"/>
                <w:szCs w:val="16"/>
              </w:rPr>
            </w:pPr>
          </w:p>
        </w:tc>
        <w:tc>
          <w:tcPr>
            <w:tcW w:w="1737" w:type="dxa"/>
          </w:tcPr>
          <w:p w14:paraId="0A9925B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3048696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65001CF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063D7F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1610D54"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自-J-B2:能操作適合學習階段的科技設備與資源，並從學習活動、日常經驗及科技運用、自然環境、書刊及網路媒體中，培養相關倫理與分辨資訊之可信程</w:t>
            </w:r>
            <w:r w:rsidRPr="00CA5264">
              <w:rPr>
                <w:rFonts w:ascii="新細明體" w:eastAsia="新細明體" w:hAnsi="新細明體" w:hint="eastAsia"/>
                <w:snapToGrid w:val="0"/>
                <w:color w:val="auto"/>
                <w:sz w:val="16"/>
                <w:szCs w:val="16"/>
              </w:rPr>
              <w:lastRenderedPageBreak/>
              <w:t>度及進行各種有計畫的觀察，以獲得有助於探究和問題解決的資訊。</w:t>
            </w:r>
          </w:p>
        </w:tc>
        <w:tc>
          <w:tcPr>
            <w:tcW w:w="1240" w:type="dxa"/>
          </w:tcPr>
          <w:p w14:paraId="234906E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tc-</w:t>
            </w:r>
            <w:r w:rsidRPr="00CA5264">
              <w:rPr>
                <w:rFonts w:asciiTheme="minorEastAsia" w:hAnsiTheme="minorEastAsia" w:hint="eastAsia"/>
                <w:sz w:val="16"/>
                <w:szCs w:val="16"/>
              </w:rPr>
              <w:t>Ⅳ</w:t>
            </w:r>
            <w:r w:rsidRPr="00CA5264">
              <w:rPr>
                <w:rFonts w:asciiTheme="minorEastAsia" w:hAnsiTheme="minorEastAsia"/>
                <w:sz w:val="16"/>
                <w:szCs w:val="16"/>
              </w:rPr>
              <w:t>-1:能依據已知的自然科學知識與概念，對自己蒐集與分類的科學數據，抱持合理的懷疑態度，並對他人的資訊或報告，提出自己的看法或解釋。</w:t>
            </w:r>
          </w:p>
          <w:p w14:paraId="439A153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-1:能從學習活動、日常經驗及科技運用、自然環境、書刊及網路媒體中，進行各種有計畫的觀察，進而能察覺問題。</w:t>
            </w:r>
          </w:p>
          <w:p w14:paraId="092CEE9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w:t>
            </w:r>
          </w:p>
          <w:p w14:paraId="1BCB051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學探究或適合以科學方式尋求解決的問題（或假說），並能依據觀察、蒐集資料、閱讀、思考、討論等，提出適宜探究之問題。</w:t>
            </w:r>
          </w:p>
          <w:p w14:paraId="568FB14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w:t>
            </w:r>
            <w:r w:rsidRPr="00CA5264">
              <w:rPr>
                <w:rFonts w:asciiTheme="minorEastAsia" w:hAnsiTheme="minorEastAsia"/>
                <w:sz w:val="16"/>
                <w:szCs w:val="16"/>
              </w:rPr>
              <w:lastRenderedPageBreak/>
              <w:t>詳實記錄。</w:t>
            </w:r>
          </w:p>
          <w:p w14:paraId="618FD94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tc>
        <w:tc>
          <w:tcPr>
            <w:tcW w:w="1101" w:type="dxa"/>
          </w:tcPr>
          <w:p w14:paraId="668FBB1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Ca-</w:t>
            </w:r>
            <w:r w:rsidRPr="00CA5264">
              <w:rPr>
                <w:rFonts w:asciiTheme="minorEastAsia" w:hAnsiTheme="minorEastAsia" w:hint="eastAsia"/>
                <w:sz w:val="16"/>
                <w:szCs w:val="16"/>
              </w:rPr>
              <w:t>Ⅳ</w:t>
            </w:r>
            <w:r w:rsidRPr="00CA5264">
              <w:rPr>
                <w:rFonts w:asciiTheme="minorEastAsia" w:hAnsiTheme="minorEastAsia"/>
                <w:sz w:val="16"/>
                <w:szCs w:val="16"/>
              </w:rPr>
              <w:t>-2:化合物可利用化學性質來鑑定。</w:t>
            </w:r>
          </w:p>
          <w:p w14:paraId="3308EE3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Jb-</w:t>
            </w:r>
            <w:r w:rsidRPr="00CA5264">
              <w:rPr>
                <w:rFonts w:asciiTheme="minorEastAsia" w:hAnsiTheme="minorEastAsia" w:hint="eastAsia"/>
                <w:sz w:val="16"/>
                <w:szCs w:val="16"/>
              </w:rPr>
              <w:t>Ⅳ</w:t>
            </w:r>
            <w:r w:rsidRPr="00CA5264">
              <w:rPr>
                <w:rFonts w:asciiTheme="minorEastAsia" w:hAnsiTheme="minorEastAsia"/>
                <w:sz w:val="16"/>
                <w:szCs w:val="16"/>
              </w:rPr>
              <w:t>-1:由水溶液導電的實驗認識電解質與非電解質。</w:t>
            </w:r>
          </w:p>
          <w:p w14:paraId="78A8A3A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Jb-</w:t>
            </w:r>
            <w:r w:rsidRPr="00CA5264">
              <w:rPr>
                <w:rFonts w:asciiTheme="minorEastAsia" w:hAnsiTheme="minorEastAsia" w:hint="eastAsia"/>
                <w:sz w:val="16"/>
                <w:szCs w:val="16"/>
              </w:rPr>
              <w:t>Ⅳ</w:t>
            </w:r>
            <w:r w:rsidRPr="00CA5264">
              <w:rPr>
                <w:rFonts w:asciiTheme="minorEastAsia" w:hAnsiTheme="minorEastAsia"/>
                <w:sz w:val="16"/>
                <w:szCs w:val="16"/>
              </w:rPr>
              <w:t>-2:電解質在水溶液中會解離出陰離子和陽離子而導電。</w:t>
            </w:r>
          </w:p>
          <w:p w14:paraId="789B236B"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-5:酸、鹼、鹽類在日常生活中的應用與危險性。</w:t>
            </w:r>
          </w:p>
        </w:tc>
        <w:tc>
          <w:tcPr>
            <w:tcW w:w="1171" w:type="dxa"/>
          </w:tcPr>
          <w:p w14:paraId="72AAB37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以LED燈檢驗純水、食鹽水、糖水、醋酸及氫氧化鈉水溶液等的導電性不同，辨別電解質與非電解質的差別。</w:t>
            </w:r>
          </w:p>
          <w:p w14:paraId="19B4806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藉由「電解質水溶液會導電」，認識電離說與陰、陽離子。</w:t>
            </w:r>
          </w:p>
          <w:p w14:paraId="3CADC51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以醋酸、稀鹽酸、蒸餾水、氫氧化鈉溶液與廣用試紙、鎂帶、大理石反應，觀察產生的氣體，說明酸性溶液對金屬與大理石的反應。</w:t>
            </w:r>
          </w:p>
          <w:p w14:paraId="716F7BA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認識常見的酸、鹼性物質及其性質。</w:t>
            </w:r>
          </w:p>
        </w:tc>
        <w:tc>
          <w:tcPr>
            <w:tcW w:w="2973" w:type="dxa"/>
            <w:shd w:val="clear" w:color="auto" w:fill="auto"/>
          </w:tcPr>
          <w:p w14:paraId="5CE8274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列舉生活中常見水溶液，說明大部分含有電解質。</w:t>
            </w:r>
          </w:p>
          <w:p w14:paraId="5138F9F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說明例題與評量學生是否了解何謂電解質及其水溶液的性質。</w:t>
            </w:r>
          </w:p>
          <w:p w14:paraId="11DA1A4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介紹電離說的起源。並與道耳頓原子說內容比較。</w:t>
            </w:r>
          </w:p>
          <w:p w14:paraId="772FBDD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複習原子的結構理論，並提問原子呈電中性的原因。</w:t>
            </w:r>
          </w:p>
          <w:p w14:paraId="7D92879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以示意圖說明鈉離子的形成原因及鈉離子的表示符號，再以示意圖說明氯離子的形成原因及氯離子的表示符號。</w:t>
            </w:r>
          </w:p>
          <w:p w14:paraId="7969A05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探討「動腦時間」的問題。</w:t>
            </w:r>
          </w:p>
          <w:p w14:paraId="6438679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以金屬鈉和食鹽水中鈉離子的性質差異，說明相同元素的原子和離子，其化學性質可能差異很大。</w:t>
            </w:r>
          </w:p>
          <w:p w14:paraId="62EB0B2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說明電解質在水中解離導電的情形，並學生電解質水溶液呈電中性的原因。</w:t>
            </w:r>
          </w:p>
          <w:p w14:paraId="6E17EEA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藉由電解質在水中解離導電的情形，說明電解質水溶液會導電的原因。</w:t>
            </w:r>
          </w:p>
          <w:p w14:paraId="272C20F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連結「自然暖身操」提問，複習電解質的定義，並請學生搜尋人體中的養分哪些是電解質？哪些是非電解質？</w:t>
            </w:r>
          </w:p>
          <w:p w14:paraId="62F96D8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以「自然暖身操」為例引入，提問：為什麼用含鹽酸的清潔劑要戴手套？為什麼大理石檯面不能碰到酸性溶液？</w:t>
            </w:r>
          </w:p>
          <w:p w14:paraId="15EBF76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預先配製實驗藥品，鹽酸、醋酸與氫氧化鈉水溶液濃度皆為1M。</w:t>
            </w:r>
          </w:p>
          <w:p w14:paraId="187E69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可將標籤紙貼在試管架上，再依序標示A、B、C、D，因試管架不用清洗，標籤紙可保留供下一個班級使用，簡化操作。</w:t>
            </w:r>
          </w:p>
          <w:p w14:paraId="44B1B40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示範以廣用試紙測試溶液的操作，以及色碼表的對照方法，找出對應的pH值。</w:t>
            </w:r>
          </w:p>
          <w:p w14:paraId="705587E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步驟3須事先以砂紙磨掉鎂帶外層的氧化物，再以剪刀裁成</w:t>
            </w:r>
            <w:r w:rsidRPr="00CA5264">
              <w:rPr>
                <w:rFonts w:asciiTheme="minorEastAsia" w:hAnsiTheme="minorEastAsia"/>
                <w:sz w:val="16"/>
                <w:szCs w:val="16"/>
              </w:rPr>
              <w:t>1</w:t>
            </w:r>
            <w:r w:rsidRPr="00CA5264">
              <w:rPr>
                <w:rFonts w:asciiTheme="minorEastAsia" w:hAnsiTheme="minorEastAsia" w:hint="eastAsia"/>
                <w:sz w:val="16"/>
                <w:szCs w:val="16"/>
              </w:rPr>
              <w:t>～</w:t>
            </w:r>
            <w:r w:rsidRPr="00CA5264">
              <w:rPr>
                <w:rFonts w:asciiTheme="minorEastAsia" w:hAnsiTheme="minorEastAsia"/>
                <w:sz w:val="16"/>
                <w:szCs w:val="16"/>
              </w:rPr>
              <w:t>2cm</w:t>
            </w:r>
            <w:r w:rsidRPr="00CA5264">
              <w:rPr>
                <w:rFonts w:asciiTheme="minorEastAsia" w:hAnsiTheme="minorEastAsia" w:hint="eastAsia"/>
                <w:sz w:val="16"/>
                <w:szCs w:val="16"/>
              </w:rPr>
              <w:t>。</w:t>
            </w:r>
          </w:p>
          <w:p w14:paraId="1C4C7F3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示範氣體的收集法，以及如何用點燃火柴檢驗氣體是否可燃。並提問哪些溶液使鎂帶產生氣體。</w:t>
            </w:r>
          </w:p>
          <w:p w14:paraId="3DB84A7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17. 示範如何用點燃的線香檢驗氣體。並</w:t>
            </w:r>
            <w:r w:rsidRPr="00CA5264">
              <w:rPr>
                <w:rFonts w:asciiTheme="minorEastAsia" w:hAnsiTheme="minorEastAsia" w:hint="eastAsia"/>
                <w:sz w:val="16"/>
                <w:szCs w:val="16"/>
              </w:rPr>
              <w:lastRenderedPageBreak/>
              <w:t>提問能否說出哪些溶液使大理石產生氣體。</w:t>
            </w:r>
          </w:p>
          <w:p w14:paraId="620CFAD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18. 就曾經學習關於酸的知識發言酸性溶液具有哪些共同性質，再適時修正。</w:t>
            </w:r>
          </w:p>
          <w:p w14:paraId="26FFD48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19. 講解實驗室常用的酸性物質名稱及其特性，並歸納酸性物質的共通性質。</w:t>
            </w:r>
          </w:p>
          <w:p w14:paraId="3F88673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20. 在黑板寫出HCl、CH</w:t>
            </w:r>
            <w:r w:rsidRPr="00CA5264">
              <w:rPr>
                <w:rFonts w:asciiTheme="minorEastAsia" w:hAnsiTheme="minorEastAsia" w:hint="eastAsia"/>
                <w:sz w:val="16"/>
                <w:szCs w:val="16"/>
                <w:vertAlign w:val="subscript"/>
              </w:rPr>
              <w:t>3</w:t>
            </w:r>
            <w:r w:rsidRPr="00CA5264">
              <w:rPr>
                <w:rFonts w:asciiTheme="minorEastAsia" w:hAnsiTheme="minorEastAsia" w:hint="eastAsia"/>
                <w:sz w:val="16"/>
                <w:szCs w:val="16"/>
              </w:rPr>
              <w:t>COOH等酸性物質在水中的解離反應式，並說明酸會解離出相同的氫離子（H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），再請學生上臺書寫指定的解離反應式。</w:t>
            </w:r>
          </w:p>
          <w:p w14:paraId="6EECFA6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21. 講述以大理石建造的雕像與古蹟，常被酸雨侵蝕的原因。</w:t>
            </w:r>
          </w:p>
          <w:p w14:paraId="144F358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22. 演示濃硫酸具有脫水性的示範實驗，以強化學生記憶並提高學習興趣。(1)可在方糖上挖洞，再將濃硫酸滴入。(2)可利用吹風機將紙烘乾觀察。(3)使用0. 5M的稀硫酸進行步驟3。(4)提問稀硫酸是否具脫水性，脫水後的黑色物質是什麼。</w:t>
            </w:r>
          </w:p>
          <w:p w14:paraId="3DC6776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23. 鼓勵學生舉手發言鹼性溶液具有哪些共同性質，再適時修正或補充說明。</w:t>
            </w:r>
          </w:p>
        </w:tc>
        <w:tc>
          <w:tcPr>
            <w:tcW w:w="567" w:type="dxa"/>
          </w:tcPr>
          <w:p w14:paraId="01DF9D10" w14:textId="20E716DB"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7A991ED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阿瑞尼斯相關介紹資料。</w:t>
            </w:r>
          </w:p>
          <w:p w14:paraId="5F41088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實驗器材與藥品。</w:t>
            </w:r>
          </w:p>
          <w:p w14:paraId="5CF02B1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石蕊試紙、酚酞指示劑。</w:t>
            </w:r>
          </w:p>
          <w:p w14:paraId="04B1A5E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廣用試紙或指示劑。</w:t>
            </w:r>
          </w:p>
        </w:tc>
        <w:tc>
          <w:tcPr>
            <w:tcW w:w="709" w:type="dxa"/>
          </w:tcPr>
          <w:p w14:paraId="2E35C67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600B844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34DE1805"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474C403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5347A9D6"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7F4B514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077914A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4B198BF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p w14:paraId="2E1AE835"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【安全教育】</w:t>
            </w:r>
          </w:p>
          <w:p w14:paraId="594B078E"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tc>
        <w:tc>
          <w:tcPr>
            <w:tcW w:w="850" w:type="dxa"/>
            <w:shd w:val="clear" w:color="auto" w:fill="auto"/>
          </w:tcPr>
          <w:p w14:paraId="2E6DA54F"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3F6B8F8E"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2E2A8764" w14:textId="77777777" w:rsidTr="00ED18E0">
        <w:tc>
          <w:tcPr>
            <w:tcW w:w="539" w:type="dxa"/>
          </w:tcPr>
          <w:p w14:paraId="6D8BFE77"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六</w:t>
            </w:r>
          </w:p>
        </w:tc>
        <w:tc>
          <w:tcPr>
            <w:tcW w:w="709" w:type="dxa"/>
          </w:tcPr>
          <w:p w14:paraId="2EAE02A2"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3/22-3/26</w:t>
            </w:r>
          </w:p>
        </w:tc>
        <w:tc>
          <w:tcPr>
            <w:tcW w:w="709" w:type="dxa"/>
          </w:tcPr>
          <w:p w14:paraId="64A7CDCD"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第3章電解質與酸鹼反應</w:t>
            </w:r>
          </w:p>
        </w:tc>
        <w:tc>
          <w:tcPr>
            <w:tcW w:w="709" w:type="dxa"/>
          </w:tcPr>
          <w:p w14:paraId="148F2038"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3．2常見的酸、鹼性物質、3．3酸鹼的濃度</w:t>
            </w:r>
          </w:p>
        </w:tc>
        <w:tc>
          <w:tcPr>
            <w:tcW w:w="708" w:type="dxa"/>
          </w:tcPr>
          <w:p w14:paraId="51D3C9A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44EBE62E"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28EA5CB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41F472F6"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59EB18F6"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2B298E2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743F4083"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lastRenderedPageBreak/>
              <w:t>C1:道德實踐與公民意識</w:t>
            </w:r>
          </w:p>
        </w:tc>
        <w:tc>
          <w:tcPr>
            <w:tcW w:w="1737" w:type="dxa"/>
          </w:tcPr>
          <w:p w14:paraId="399AD35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lastRenderedPageBreak/>
              <w:t>自-J-A1:能應用科學知識、方法與態度於日常生活當中。</w:t>
            </w:r>
          </w:p>
          <w:p w14:paraId="03AA3388"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33879F1B"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74EF993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w:t>
            </w:r>
            <w:r w:rsidRPr="00CA5264">
              <w:rPr>
                <w:rFonts w:ascii="新細明體" w:eastAsia="新細明體" w:hAnsi="新細明體" w:hint="eastAsia"/>
                <w:snapToGrid w:val="0"/>
                <w:sz w:val="16"/>
                <w:szCs w:val="16"/>
              </w:rPr>
              <w:lastRenderedPageBreak/>
              <w:t>及數學運算等方法，整理自然科學資訊或數據，並利用口語、影像、文字與圖案、繪圖或實物、科學名詞、數學公式、模型等，表達探究之過程、發現與成果、價值和限制等。</w:t>
            </w:r>
          </w:p>
          <w:p w14:paraId="26D5949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6AB34FBB"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7C06AD12"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自-J-C1:從日常學習中，主動關心自然環境相關公共議題，尊重生命。</w:t>
            </w:r>
          </w:p>
        </w:tc>
        <w:tc>
          <w:tcPr>
            <w:tcW w:w="1240" w:type="dxa"/>
          </w:tcPr>
          <w:p w14:paraId="272A7A3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tc-</w:t>
            </w:r>
            <w:r w:rsidRPr="00CA5264">
              <w:rPr>
                <w:rFonts w:asciiTheme="minorEastAsia" w:hAnsiTheme="minorEastAsia" w:hint="eastAsia"/>
                <w:sz w:val="16"/>
                <w:szCs w:val="16"/>
              </w:rPr>
              <w:t>Ⅳ</w:t>
            </w:r>
            <w:r w:rsidRPr="00CA5264">
              <w:rPr>
                <w:rFonts w:asciiTheme="minorEastAsia" w:hAnsiTheme="minorEastAsia"/>
                <w:sz w:val="16"/>
                <w:szCs w:val="16"/>
              </w:rPr>
              <w:t>-1:能依據已知的自然科學知識與概念，對自己蒐集與分類的科學數據，抱持合理的懷疑態度，並對他人的資訊或報告，提出自己的看法或解釋。</w:t>
            </w:r>
          </w:p>
          <w:p w14:paraId="239F280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-1:能從學習活動、日常經驗及科技運用、自然環境、書刊及網路媒體中，進行各種有計畫的觀察，進而能察覺問題。</w:t>
            </w:r>
          </w:p>
          <w:p w14:paraId="2BCFA08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w:t>
            </w:r>
            <w:r w:rsidRPr="00CA5264">
              <w:rPr>
                <w:rFonts w:asciiTheme="minorEastAsia" w:hAnsiTheme="minorEastAsia"/>
                <w:sz w:val="16"/>
                <w:szCs w:val="16"/>
              </w:rPr>
              <w:lastRenderedPageBreak/>
              <w:t>方式尋求解決的問題（或假說），並能依據觀察、蒐集資料、閱讀、思考、討論等，提出適宜探究之問題。</w:t>
            </w:r>
          </w:p>
          <w:p w14:paraId="574D80C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53514AA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70AA8B2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w:t>
            </w:r>
            <w:r w:rsidRPr="00CA5264">
              <w:rPr>
                <w:rFonts w:asciiTheme="minorEastAsia" w:hAnsiTheme="minorEastAsia"/>
                <w:sz w:val="16"/>
                <w:szCs w:val="16"/>
              </w:rPr>
              <w:lastRenderedPageBreak/>
              <w:t>確性。</w:t>
            </w:r>
          </w:p>
          <w:p w14:paraId="59A9AC9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ah-</w:t>
            </w:r>
            <w:r w:rsidRPr="00CA5264">
              <w:rPr>
                <w:rFonts w:asciiTheme="minorEastAsia" w:hAnsiTheme="minorEastAsia" w:hint="eastAsia"/>
                <w:sz w:val="16"/>
                <w:szCs w:val="16"/>
              </w:rPr>
              <w:t>Ⅳ</w:t>
            </w:r>
            <w:r w:rsidRPr="00CA5264">
              <w:rPr>
                <w:rFonts w:asciiTheme="minorEastAsia" w:hAnsiTheme="minorEastAsia"/>
                <w:sz w:val="16"/>
                <w:szCs w:val="16"/>
              </w:rPr>
              <w:t>-2:應用所學到的科學知識與科學探究方法</w:t>
            </w:r>
            <w:r w:rsidRPr="00CA5264">
              <w:rPr>
                <w:rFonts w:asciiTheme="minorEastAsia" w:hAnsiTheme="minorEastAsia" w:hint="eastAsia"/>
                <w:sz w:val="16"/>
                <w:szCs w:val="16"/>
              </w:rPr>
              <w:t>，</w:t>
            </w:r>
            <w:r w:rsidRPr="00CA5264">
              <w:rPr>
                <w:rFonts w:asciiTheme="minorEastAsia" w:hAnsiTheme="minorEastAsia"/>
                <w:sz w:val="16"/>
                <w:szCs w:val="16"/>
              </w:rPr>
              <w:t>幫助自己做出最佳的決定。</w:t>
            </w:r>
          </w:p>
        </w:tc>
        <w:tc>
          <w:tcPr>
            <w:tcW w:w="1101" w:type="dxa"/>
          </w:tcPr>
          <w:p w14:paraId="5D4DF62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Ca-</w:t>
            </w:r>
            <w:r w:rsidRPr="00CA5264">
              <w:rPr>
                <w:rFonts w:asciiTheme="minorEastAsia" w:hAnsiTheme="minorEastAsia" w:hint="eastAsia"/>
                <w:sz w:val="16"/>
                <w:szCs w:val="16"/>
              </w:rPr>
              <w:t>Ⅳ</w:t>
            </w:r>
            <w:r w:rsidRPr="00CA5264">
              <w:rPr>
                <w:rFonts w:asciiTheme="minorEastAsia" w:hAnsiTheme="minorEastAsia"/>
                <w:sz w:val="16"/>
                <w:szCs w:val="16"/>
              </w:rPr>
              <w:t>-2:化合物可利用化學性質來鑑定。</w:t>
            </w:r>
          </w:p>
          <w:p w14:paraId="12E8972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-1:金屬與非金屬氧化物在水溶液中的酸鹼性，及酸性溶液對金屬與大理石的反應。</w:t>
            </w:r>
          </w:p>
          <w:p w14:paraId="7FFB5EF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-5:酸、鹼、鹽類在日常生活中的應用與危險性。</w:t>
            </w:r>
          </w:p>
          <w:p w14:paraId="697866C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-4:水溶液中氫離子與氫氧根離子的關係。</w:t>
            </w:r>
          </w:p>
          <w:p w14:paraId="4B0CC49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-2:酸鹼強度與pH值的關係</w:t>
            </w:r>
            <w:r w:rsidRPr="00CA5264">
              <w:rPr>
                <w:rFonts w:asciiTheme="minorEastAsia" w:hAnsiTheme="minorEastAsia" w:hint="eastAsia"/>
                <w:sz w:val="16"/>
                <w:szCs w:val="16"/>
              </w:rPr>
              <w:t>。</w:t>
            </w:r>
          </w:p>
          <w:p w14:paraId="43DE302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Jd-</w:t>
            </w:r>
            <w:r w:rsidRPr="00CA5264">
              <w:rPr>
                <w:rFonts w:asciiTheme="minorEastAsia" w:hAnsiTheme="minorEastAsia" w:hint="eastAsia"/>
                <w:sz w:val="16"/>
                <w:szCs w:val="16"/>
              </w:rPr>
              <w:t>Ⅳ</w:t>
            </w:r>
            <w:r w:rsidRPr="00CA5264">
              <w:rPr>
                <w:rFonts w:asciiTheme="minorEastAsia" w:hAnsiTheme="minorEastAsia"/>
                <w:sz w:val="16"/>
                <w:szCs w:val="16"/>
              </w:rPr>
              <w:t>-3:實驗認識廣用指示劑及pH計</w:t>
            </w:r>
            <w:r w:rsidRPr="00CA5264">
              <w:rPr>
                <w:rFonts w:asciiTheme="minorEastAsia" w:hAnsiTheme="minorEastAsia" w:hint="eastAsia"/>
                <w:sz w:val="16"/>
                <w:szCs w:val="16"/>
              </w:rPr>
              <w:t>。</w:t>
            </w:r>
          </w:p>
        </w:tc>
        <w:tc>
          <w:tcPr>
            <w:tcW w:w="1171" w:type="dxa"/>
          </w:tcPr>
          <w:p w14:paraId="3DE9AEC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1. 以醋酸、稀鹽酸、蒸餾水、氫氧化鈉溶液與廣用試紙、鎂帶、大理石反應，觀察產生的氣體，說明酸性溶液對金屬與大理石的反應。</w:t>
            </w:r>
          </w:p>
          <w:p w14:paraId="48E27F4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認識常見的酸、鹼性物質及其性質。</w:t>
            </w:r>
          </w:p>
          <w:p w14:paraId="343A8E9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3</w:t>
            </w:r>
            <w:r w:rsidRPr="00CA5264">
              <w:rPr>
                <w:rFonts w:asciiTheme="minorEastAsia" w:hAnsiTheme="minorEastAsia" w:hint="eastAsia"/>
                <w:sz w:val="16"/>
                <w:szCs w:val="16"/>
              </w:rPr>
              <w:t>. 認識莫耳濃度的單位與意義。</w:t>
            </w:r>
          </w:p>
          <w:p w14:paraId="457D9DC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說明純水[H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]，中性溶液：[H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]，pH＝7；酸性溶液：[H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]，pH＜</w:t>
            </w:r>
            <w:r w:rsidRPr="00CA5264">
              <w:rPr>
                <w:rFonts w:asciiTheme="minorEastAsia" w:hAnsiTheme="minorEastAsia" w:hint="eastAsia"/>
                <w:sz w:val="16"/>
                <w:szCs w:val="16"/>
              </w:rPr>
              <w:lastRenderedPageBreak/>
              <w:t>7；鹼性溶液：[H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]，pH＞7。</w:t>
            </w:r>
          </w:p>
          <w:p w14:paraId="7F1AFAD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了解[H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]大小與pH值的關係。</w:t>
            </w:r>
          </w:p>
          <w:p w14:paraId="4914F2C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6. </w:t>
            </w:r>
            <w:r w:rsidRPr="00CA5264">
              <w:rPr>
                <w:rFonts w:asciiTheme="minorEastAsia" w:hAnsiTheme="minorEastAsia" w:hint="eastAsia"/>
                <w:sz w:val="16"/>
                <w:szCs w:val="16"/>
              </w:rPr>
              <w:t>介紹一般測量水溶液酸鹼性的指示劑，如廣用試紙、石蕊試紙、酚酞指示劑等。</w:t>
            </w:r>
          </w:p>
        </w:tc>
        <w:tc>
          <w:tcPr>
            <w:tcW w:w="2973" w:type="dxa"/>
            <w:shd w:val="clear" w:color="auto" w:fill="auto"/>
          </w:tcPr>
          <w:p w14:paraId="43B18CE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1. 在黑板寫出NaOH、NH</w:t>
            </w:r>
            <w:r w:rsidRPr="00CA5264">
              <w:rPr>
                <w:rFonts w:asciiTheme="minorEastAsia" w:hAnsiTheme="minorEastAsia" w:hint="eastAsia"/>
                <w:sz w:val="16"/>
                <w:szCs w:val="16"/>
                <w:vertAlign w:val="subscript"/>
              </w:rPr>
              <w:t>3</w:t>
            </w:r>
            <w:r w:rsidRPr="00CA5264">
              <w:rPr>
                <w:rFonts w:asciiTheme="minorEastAsia" w:hAnsiTheme="minorEastAsia" w:hint="eastAsia"/>
                <w:sz w:val="16"/>
                <w:szCs w:val="16"/>
              </w:rPr>
              <w:t>等鹼性物質在水中的解離反應式，並說明鹼性物質在水中會解離出相同的氫氧根離子（OH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），再請學生上臺書寫指定的解離反應式。</w:t>
            </w:r>
          </w:p>
          <w:p w14:paraId="0D76B1D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可讓學生討論發言說明常見的鹼性物質及其性質，適時予以修正或補充說明。</w:t>
            </w:r>
          </w:p>
          <w:p w14:paraId="1D9142A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講解例題，評量學生是否能應用酸性物質及鹼性物質的特性，分辨出不同的物質。</w:t>
            </w:r>
          </w:p>
          <w:p w14:paraId="68B5AC7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連結「自然暖身操」提問，複習酸性物質的特性。</w:t>
            </w:r>
          </w:p>
          <w:p w14:paraId="1CA6683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以「自然暖身操」為例引入，提問：為什麼同樣是醋，加水前酸得難以入口，加水後卻變得溫和可口？</w:t>
            </w:r>
          </w:p>
          <w:p w14:paraId="36F8B9A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說明莫耳濃度的意義。</w:t>
            </w:r>
          </w:p>
          <w:p w14:paraId="7EF82EC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以白球表示H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，藍球表示OH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，說明純水解離出的H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及OH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濃度相同。</w:t>
            </w:r>
          </w:p>
          <w:p w14:paraId="1227C86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說明酸性、中性及鹼性溶液的差異在於[H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]及[OH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]大小。</w:t>
            </w:r>
          </w:p>
          <w:p w14:paraId="1B40337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說明可以用pH值來表示水溶液的酸鹼性。pH值越小，表示氫離子濃度越大，且表示溶液在常溫時的酸性較強。提問學生在常溫時，不同pH值的溶液，何者</w:t>
            </w:r>
            <w:r w:rsidRPr="00CA5264">
              <w:rPr>
                <w:rFonts w:asciiTheme="minorEastAsia" w:hAnsiTheme="minorEastAsia" w:hint="eastAsia"/>
                <w:sz w:val="16"/>
                <w:szCs w:val="16"/>
              </w:rPr>
              <w:lastRenderedPageBreak/>
              <w:t>酸性較強？何者鹼性較強？</w:t>
            </w:r>
          </w:p>
          <w:p w14:paraId="0904505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可額外補充說明pH值表示溶液的氫離子濃度，例如[H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]＝0. 1、0. 01、0. 001、10</w:t>
            </w:r>
            <w:r w:rsidRPr="00CA5264">
              <w:rPr>
                <w:rFonts w:asciiTheme="minorEastAsia" w:hAnsiTheme="minorEastAsia" w:hint="eastAsia"/>
                <w:sz w:val="16"/>
                <w:szCs w:val="16"/>
                <w:vertAlign w:val="superscript"/>
              </w:rPr>
              <w:t>－4</w:t>
            </w:r>
            <w:r w:rsidRPr="00CA5264">
              <w:rPr>
                <w:rFonts w:asciiTheme="minorEastAsia" w:hAnsiTheme="minorEastAsia" w:hint="eastAsia"/>
                <w:sz w:val="16"/>
                <w:szCs w:val="16"/>
              </w:rPr>
              <w:t>及10</w:t>
            </w:r>
            <w:r w:rsidRPr="00CA5264">
              <w:rPr>
                <w:rFonts w:asciiTheme="minorEastAsia" w:hAnsiTheme="minorEastAsia" w:hint="eastAsia"/>
                <w:sz w:val="16"/>
                <w:szCs w:val="16"/>
                <w:vertAlign w:val="superscript"/>
              </w:rPr>
              <w:t>－5</w:t>
            </w:r>
            <w:r w:rsidRPr="00CA5264">
              <w:rPr>
                <w:rFonts w:asciiTheme="minorEastAsia" w:hAnsiTheme="minorEastAsia" w:hint="eastAsia"/>
                <w:sz w:val="16"/>
                <w:szCs w:val="16"/>
              </w:rPr>
              <w:t>M時，pH值與[H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]的關係。</w:t>
            </w:r>
          </w:p>
          <w:p w14:paraId="058A5B0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製備好紫甘藍或紅鳳菜汁液，分別滴入食醋、純水、小蘇打中，觀察液體顏色的變化。</w:t>
            </w:r>
          </w:p>
          <w:p w14:paraId="27D3752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w:t>
            </w:r>
            <w:r w:rsidRPr="00CA5264">
              <w:rPr>
                <w:rFonts w:asciiTheme="minorEastAsia" w:hAnsiTheme="minorEastAsia"/>
                <w:sz w:val="16"/>
                <w:szCs w:val="16"/>
              </w:rPr>
              <w:t xml:space="preserve">. </w:t>
            </w:r>
            <w:r w:rsidRPr="00CA5264">
              <w:rPr>
                <w:rFonts w:asciiTheme="minorEastAsia" w:hAnsiTheme="minorEastAsia" w:hint="eastAsia"/>
                <w:sz w:val="16"/>
                <w:szCs w:val="16"/>
              </w:rPr>
              <w:t>以紅色及藍色石蕊與酚酞試紙或指示劑檢驗食醋、純水和小蘇打，觀察液體顏色的變化。也可配製0.1M鹽酸及0.1M氫氧化鈉溶液來檢驗，使顏色變化更明顯。</w:t>
            </w:r>
          </w:p>
        </w:tc>
        <w:tc>
          <w:tcPr>
            <w:tcW w:w="567" w:type="dxa"/>
          </w:tcPr>
          <w:p w14:paraId="764185C5" w14:textId="170F416D"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4AB5D06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石蕊試紙、酚酞指示劑。</w:t>
            </w:r>
          </w:p>
          <w:p w14:paraId="3C08C06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廣用試紙或指示劑。</w:t>
            </w:r>
          </w:p>
          <w:p w14:paraId="36C93596"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實驗器材與藥品。</w:t>
            </w:r>
          </w:p>
        </w:tc>
        <w:tc>
          <w:tcPr>
            <w:tcW w:w="709" w:type="dxa"/>
          </w:tcPr>
          <w:p w14:paraId="601987F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4E83069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139FED1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7956CA2A"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1196AC6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5C611B6C"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1465F1E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25FED5F5"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w:t>
            </w:r>
            <w:r w:rsidRPr="00357257">
              <w:rPr>
                <w:rFonts w:ascii="新細明體" w:hAnsi="新細明體" w:cs="Times New Roman" w:hint="eastAsia"/>
                <w:color w:val="auto"/>
                <w:kern w:val="2"/>
                <w:sz w:val="16"/>
                <w:szCs w:val="16"/>
              </w:rPr>
              <w:lastRenderedPageBreak/>
              <w:t>與應用。</w:t>
            </w:r>
          </w:p>
          <w:p w14:paraId="3C62EF12"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【安全教育】</w:t>
            </w:r>
          </w:p>
          <w:p w14:paraId="3A7A61E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tc>
        <w:tc>
          <w:tcPr>
            <w:tcW w:w="850" w:type="dxa"/>
            <w:shd w:val="clear" w:color="auto" w:fill="auto"/>
          </w:tcPr>
          <w:p w14:paraId="040B998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lastRenderedPageBreak/>
              <w:t>數學</w:t>
            </w:r>
          </w:p>
          <w:p w14:paraId="4C0D1D51"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6004DBA1" w14:textId="77777777" w:rsidTr="00ED18E0">
        <w:tc>
          <w:tcPr>
            <w:tcW w:w="539" w:type="dxa"/>
          </w:tcPr>
          <w:p w14:paraId="3098CE70"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lastRenderedPageBreak/>
              <w:t>七</w:t>
            </w:r>
          </w:p>
        </w:tc>
        <w:tc>
          <w:tcPr>
            <w:tcW w:w="709" w:type="dxa"/>
          </w:tcPr>
          <w:p w14:paraId="7134609F"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3/29-4/2</w:t>
            </w:r>
          </w:p>
        </w:tc>
        <w:tc>
          <w:tcPr>
            <w:tcW w:w="709" w:type="dxa"/>
          </w:tcPr>
          <w:p w14:paraId="016BADF9"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第3章電解質與酸鹼反應</w:t>
            </w:r>
          </w:p>
        </w:tc>
        <w:tc>
          <w:tcPr>
            <w:tcW w:w="709" w:type="dxa"/>
          </w:tcPr>
          <w:p w14:paraId="1AFDE6D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3．3酸鹼的濃度、3．4酸鹼反應</w:t>
            </w:r>
          </w:p>
          <w:p w14:paraId="198CFD6E"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【第一次評量週】</w:t>
            </w:r>
          </w:p>
        </w:tc>
        <w:tc>
          <w:tcPr>
            <w:tcW w:w="708" w:type="dxa"/>
          </w:tcPr>
          <w:p w14:paraId="50E31C98"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33CCDB2F"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550161B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310E291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074BCE2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02312DE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33BAA812"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C2:人際關係與團隊合作</w:t>
            </w:r>
          </w:p>
        </w:tc>
        <w:tc>
          <w:tcPr>
            <w:tcW w:w="1737" w:type="dxa"/>
          </w:tcPr>
          <w:p w14:paraId="1ACE9A6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03052B92"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7865399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5E5EF62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7C160BA8"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w:t>
            </w:r>
            <w:r w:rsidRPr="00CA5264">
              <w:rPr>
                <w:rFonts w:ascii="新細明體" w:eastAsia="新細明體" w:hAnsi="新細明體" w:hint="eastAsia"/>
                <w:snapToGrid w:val="0"/>
                <w:sz w:val="16"/>
                <w:szCs w:val="16"/>
              </w:rPr>
              <w:lastRenderedPageBreak/>
              <w:t>大地、風雲雨露、河海大洋、日月星辰，體驗自然與生命之美。</w:t>
            </w:r>
          </w:p>
          <w:p w14:paraId="74CA35E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0C829ACA"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240" w:type="dxa"/>
          </w:tcPr>
          <w:p w14:paraId="0978EFF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7F9A42C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ah-</w:t>
            </w:r>
            <w:r w:rsidRPr="00CA5264">
              <w:rPr>
                <w:rFonts w:asciiTheme="minorEastAsia" w:hAnsiTheme="minorEastAsia" w:hint="eastAsia"/>
                <w:sz w:val="16"/>
                <w:szCs w:val="16"/>
              </w:rPr>
              <w:t>Ⅳ</w:t>
            </w:r>
            <w:r w:rsidRPr="00CA5264">
              <w:rPr>
                <w:rFonts w:asciiTheme="minorEastAsia" w:hAnsiTheme="minorEastAsia"/>
                <w:sz w:val="16"/>
                <w:szCs w:val="16"/>
              </w:rPr>
              <w:t>-2:應用所學到的科學知識與科學探究方法</w:t>
            </w:r>
            <w:r w:rsidRPr="00CA5264">
              <w:rPr>
                <w:rFonts w:asciiTheme="minorEastAsia" w:hAnsiTheme="minorEastAsia" w:hint="eastAsia"/>
                <w:sz w:val="16"/>
                <w:szCs w:val="16"/>
              </w:rPr>
              <w:t>，</w:t>
            </w:r>
            <w:r w:rsidRPr="00CA5264">
              <w:rPr>
                <w:rFonts w:asciiTheme="minorEastAsia" w:hAnsiTheme="minorEastAsia"/>
                <w:sz w:val="16"/>
                <w:szCs w:val="16"/>
              </w:rPr>
              <w:t>幫助自己做出最佳的決定。</w:t>
            </w:r>
          </w:p>
          <w:p w14:paraId="5C01802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409EFFC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tc>
        <w:tc>
          <w:tcPr>
            <w:tcW w:w="1101" w:type="dxa"/>
          </w:tcPr>
          <w:p w14:paraId="2EC6A54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-4:水溶液中氫離子與氫氧根離子的關係。</w:t>
            </w:r>
          </w:p>
          <w:p w14:paraId="15BF223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-2:酸鹼強度與pH值的關係</w:t>
            </w:r>
            <w:r w:rsidRPr="00CA5264">
              <w:rPr>
                <w:rFonts w:asciiTheme="minorEastAsia" w:hAnsiTheme="minorEastAsia" w:hint="eastAsia"/>
                <w:sz w:val="16"/>
                <w:szCs w:val="16"/>
              </w:rPr>
              <w:t>。</w:t>
            </w:r>
          </w:p>
          <w:p w14:paraId="6090126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-3:實驗認識廣用指示劑及pH計</w:t>
            </w:r>
            <w:r w:rsidRPr="00CA5264">
              <w:rPr>
                <w:rFonts w:asciiTheme="minorEastAsia" w:hAnsiTheme="minorEastAsia" w:hint="eastAsia"/>
                <w:sz w:val="16"/>
                <w:szCs w:val="16"/>
              </w:rPr>
              <w:t>。</w:t>
            </w:r>
          </w:p>
          <w:p w14:paraId="12201B9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-6:實驗認識酸與鹼中和生成鹽和水，並可放出熱量而使溫度變化。</w:t>
            </w:r>
          </w:p>
          <w:p w14:paraId="74CF65F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Jb-</w:t>
            </w:r>
            <w:r w:rsidRPr="00CA5264">
              <w:rPr>
                <w:rFonts w:asciiTheme="minorEastAsia" w:hAnsiTheme="minorEastAsia" w:hint="eastAsia"/>
                <w:sz w:val="16"/>
                <w:szCs w:val="16"/>
              </w:rPr>
              <w:t>Ⅳ</w:t>
            </w:r>
            <w:r w:rsidRPr="00CA5264">
              <w:rPr>
                <w:rFonts w:asciiTheme="minorEastAsia" w:hAnsiTheme="minorEastAsia"/>
                <w:sz w:val="16"/>
                <w:szCs w:val="16"/>
              </w:rPr>
              <w:t>-3:不同的離子在水溶液中可</w:t>
            </w:r>
            <w:r w:rsidRPr="00CA5264">
              <w:rPr>
                <w:rFonts w:asciiTheme="minorEastAsia" w:hAnsiTheme="minorEastAsia" w:hint="eastAsia"/>
                <w:sz w:val="16"/>
                <w:szCs w:val="16"/>
              </w:rPr>
              <w:t>能會</w:t>
            </w:r>
            <w:r w:rsidRPr="00CA5264">
              <w:rPr>
                <w:rFonts w:asciiTheme="minorEastAsia" w:hAnsiTheme="minorEastAsia"/>
                <w:sz w:val="16"/>
                <w:szCs w:val="16"/>
              </w:rPr>
              <w:t>發生沉澱、酸鹼中和</w:t>
            </w:r>
            <w:r w:rsidRPr="00CA5264">
              <w:rPr>
                <w:rFonts w:asciiTheme="minorEastAsia" w:hAnsiTheme="minorEastAsia" w:hint="eastAsia"/>
                <w:sz w:val="16"/>
                <w:szCs w:val="16"/>
              </w:rPr>
              <w:t>及</w:t>
            </w:r>
            <w:r w:rsidRPr="00CA5264">
              <w:rPr>
                <w:rFonts w:asciiTheme="minorEastAsia" w:hAnsiTheme="minorEastAsia"/>
                <w:sz w:val="16"/>
                <w:szCs w:val="16"/>
              </w:rPr>
              <w:t>氧化還原</w:t>
            </w:r>
            <w:r w:rsidRPr="00CA5264">
              <w:rPr>
                <w:rFonts w:asciiTheme="minorEastAsia" w:hAnsiTheme="minorEastAsia" w:hint="eastAsia"/>
                <w:sz w:val="16"/>
                <w:szCs w:val="16"/>
              </w:rPr>
              <w:t>等</w:t>
            </w:r>
            <w:r w:rsidRPr="00CA5264">
              <w:rPr>
                <w:rFonts w:asciiTheme="minorEastAsia" w:hAnsiTheme="minorEastAsia"/>
                <w:sz w:val="16"/>
                <w:szCs w:val="16"/>
              </w:rPr>
              <w:t>反應。</w:t>
            </w:r>
          </w:p>
          <w:p w14:paraId="5386B29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-5:酸、鹼、鹽類在日常生活中的應用與危險性。</w:t>
            </w:r>
          </w:p>
        </w:tc>
        <w:tc>
          <w:tcPr>
            <w:tcW w:w="1171" w:type="dxa"/>
          </w:tcPr>
          <w:p w14:paraId="717DC47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認識莫耳濃度的單位與意義。</w:t>
            </w:r>
          </w:p>
          <w:p w14:paraId="00E7B86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說明純水[H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]，中性溶液：[H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]，pH＝7；酸性溶液：[H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]，pH＜7；鹼性溶液：[H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]，pH＞7。</w:t>
            </w:r>
          </w:p>
          <w:p w14:paraId="5499AB2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了解[H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]大小與pH值的關係。</w:t>
            </w:r>
          </w:p>
          <w:p w14:paraId="26487E7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4. </w:t>
            </w:r>
            <w:r w:rsidRPr="00CA5264">
              <w:rPr>
                <w:rFonts w:asciiTheme="minorEastAsia" w:hAnsiTheme="minorEastAsia" w:hint="eastAsia"/>
                <w:sz w:val="16"/>
                <w:szCs w:val="16"/>
              </w:rPr>
              <w:t>介紹一般測量水溶液酸鹼性的指示劑，如廣用試紙、石蕊試紙、酚酞指示劑等。</w:t>
            </w:r>
          </w:p>
          <w:p w14:paraId="46288B7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藉由酸與鹼的反應實驗認識中和反應。</w:t>
            </w:r>
          </w:p>
          <w:p w14:paraId="1C7B7E8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6</w:t>
            </w:r>
            <w:r w:rsidRPr="00CA5264">
              <w:rPr>
                <w:rFonts w:asciiTheme="minorEastAsia" w:hAnsiTheme="minorEastAsia" w:hint="eastAsia"/>
                <w:sz w:val="16"/>
                <w:szCs w:val="16"/>
              </w:rPr>
              <w:t>. 簡介日常生活中常見的酸鹼中和應用。</w:t>
            </w:r>
          </w:p>
          <w:p w14:paraId="48B26F5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介紹常見的鹽類及其性質。</w:t>
            </w:r>
          </w:p>
        </w:tc>
        <w:tc>
          <w:tcPr>
            <w:tcW w:w="2973" w:type="dxa"/>
            <w:shd w:val="clear" w:color="auto" w:fill="auto"/>
          </w:tcPr>
          <w:p w14:paraId="0065419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講解廣用試紙可以檢測物質的酸鹼性，其顏色變化由酸性→中性→鹼性，依序為紅→橙→黃→綠→藍→靛→紫，與彩虹的顏色順序相同。</w:t>
            </w:r>
          </w:p>
          <w:p w14:paraId="4791ABB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以廣用試紙檢驗食醋、純水和小蘇打，觀察液體顏色的變化，再比對色碼表，讀出其pH值。</w:t>
            </w:r>
          </w:p>
          <w:p w14:paraId="3A75B3B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介紹生活中常見的物質，知道常見物質包括酸性、中性和鹼性，人體中也有不同的酸鹼性。</w:t>
            </w:r>
          </w:p>
          <w:p w14:paraId="507B939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以pH計檢驗食醋、純水和小蘇打的pH值。</w:t>
            </w:r>
          </w:p>
          <w:p w14:paraId="2FD9351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連結「自然暖身操」提問，讓學生知道酸鹼物質的濃度越高，水溶液表現出的性質就越明顯。</w:t>
            </w:r>
          </w:p>
          <w:p w14:paraId="3AD5654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兒時記趣中有一段「夏蚊成雷，私擬作群鶴舞空」，若被蚊子叮咬，抹肥皂水能止癢的原理是什麼呢？</w:t>
            </w:r>
          </w:p>
          <w:p w14:paraId="279C278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引導學生領取實驗器材，並將玻璃器皿清洗乾淨。</w:t>
            </w:r>
          </w:p>
          <w:p w14:paraId="2CA5E0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操作實驗前，叮嚀學生本實驗的安全規則，若皮膚不慎接觸酸、鹼性物質時，須先用大量清水沖洗。</w:t>
            </w:r>
          </w:p>
          <w:p w14:paraId="72B1DCD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說明實驗的操作，並叮嚀學生觀察混合液溫度的變化。</w:t>
            </w:r>
          </w:p>
          <w:p w14:paraId="2C72765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巡視並適時給予指導。並提問學生說出鹽酸與氫氧化鈉水溶液混合時，混合液溫度的變化。</w:t>
            </w:r>
          </w:p>
          <w:p w14:paraId="3E334EE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引導思考溶液蒸發後的殘餘物質可能為何。</w:t>
            </w:r>
          </w:p>
          <w:p w14:paraId="51670FE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說明酸性溶液與鹼性溶液的反應是放熱反應，反應過程中溶液的pH值變大，表示溶液中氫離子濃度變小。</w:t>
            </w:r>
          </w:p>
          <w:p w14:paraId="79DA8AF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講解酸性溶液與鹼性溶液的化學反應稱為中和反應。</w:t>
            </w:r>
          </w:p>
          <w:p w14:paraId="501191A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說明鹽酸與氫氧化鈉水溶液反應時，鹽酸中的H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會與OH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結合成水，並說明</w:t>
            </w:r>
            <w:r w:rsidRPr="00CA5264">
              <w:rPr>
                <w:rFonts w:asciiTheme="minorEastAsia" w:hAnsiTheme="minorEastAsia" w:hint="eastAsia"/>
                <w:sz w:val="16"/>
                <w:szCs w:val="16"/>
              </w:rPr>
              <w:lastRenderedPageBreak/>
              <w:t>鹽酸中加入氫氧化鈉溶液，H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與OH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的濃度變化。</w:t>
            </w:r>
          </w:p>
          <w:p w14:paraId="4D0D736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提問學生鹽酸與氫氧化鈉反應，蒸乾後的晶體是什麼物質。</w:t>
            </w:r>
          </w:p>
          <w:p w14:paraId="181232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鹽酸與氫氧化鈉水溶液混合時，溶液中只有H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與OH</w:t>
            </w:r>
            <w:r w:rsidRPr="00CA5264">
              <w:rPr>
                <w:rFonts w:asciiTheme="minorEastAsia" w:hAnsiTheme="minorEastAsia" w:hint="eastAsia"/>
                <w:sz w:val="16"/>
                <w:szCs w:val="16"/>
                <w:vertAlign w:val="superscript"/>
              </w:rPr>
              <w:t>－</w:t>
            </w:r>
            <w:r w:rsidRPr="00CA5264">
              <w:rPr>
                <w:rFonts w:asciiTheme="minorEastAsia" w:hAnsiTheme="minorEastAsia" w:hint="eastAsia"/>
                <w:sz w:val="16"/>
                <w:szCs w:val="16"/>
              </w:rPr>
              <w:t>反應生成水，而氯離子和鈉離子仍然溶於水中，沒有發生反應。</w:t>
            </w:r>
          </w:p>
          <w:p w14:paraId="0D37AFFF"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17. 說明酸鹼中和反應後會產生水和鹽類。</w:t>
            </w:r>
          </w:p>
        </w:tc>
        <w:tc>
          <w:tcPr>
            <w:tcW w:w="567" w:type="dxa"/>
          </w:tcPr>
          <w:p w14:paraId="2C678894" w14:textId="241F1397"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1AEF5F6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石蕊試紙、酚酞指示劑。</w:t>
            </w:r>
          </w:p>
          <w:p w14:paraId="6C2C7AE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廣用試紙或指示劑。</w:t>
            </w:r>
          </w:p>
          <w:p w14:paraId="0174443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實驗器材與藥品。</w:t>
            </w:r>
          </w:p>
        </w:tc>
        <w:tc>
          <w:tcPr>
            <w:tcW w:w="709" w:type="dxa"/>
          </w:tcPr>
          <w:p w14:paraId="6468D5E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24E2F16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31541D1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02EBD97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2D01635F"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294E0A8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31F5E349"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411D3AF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p w14:paraId="196CE317"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【安全教育】</w:t>
            </w:r>
          </w:p>
          <w:p w14:paraId="0150A168"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tc>
        <w:tc>
          <w:tcPr>
            <w:tcW w:w="850" w:type="dxa"/>
            <w:shd w:val="clear" w:color="auto" w:fill="auto"/>
          </w:tcPr>
          <w:p w14:paraId="0D4CC12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549B2C71" w14:textId="77777777" w:rsidR="00766369" w:rsidRPr="00357257" w:rsidRDefault="00766369" w:rsidP="00F55A1B">
            <w:pPr>
              <w:pStyle w:val="Default"/>
              <w:topLinePunct/>
              <w:autoSpaceDE/>
              <w:autoSpaceDN/>
              <w:snapToGrid w:val="0"/>
              <w:jc w:val="both"/>
              <w:rPr>
                <w:rFonts w:ascii="新細明體" w:hAnsi="新細明體" w:cs="Times New Roman"/>
                <w:b/>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0A4012D3" w14:textId="77777777" w:rsidTr="00ED18E0">
        <w:tc>
          <w:tcPr>
            <w:tcW w:w="539" w:type="dxa"/>
          </w:tcPr>
          <w:p w14:paraId="356A994A"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八</w:t>
            </w:r>
          </w:p>
        </w:tc>
        <w:tc>
          <w:tcPr>
            <w:tcW w:w="709" w:type="dxa"/>
          </w:tcPr>
          <w:p w14:paraId="558771A4"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4/5-4/9</w:t>
            </w:r>
          </w:p>
        </w:tc>
        <w:tc>
          <w:tcPr>
            <w:tcW w:w="709" w:type="dxa"/>
          </w:tcPr>
          <w:p w14:paraId="481F7E8A"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第3章電解質與酸鹼反應、第4章反應速率與平衡</w:t>
            </w:r>
          </w:p>
        </w:tc>
        <w:tc>
          <w:tcPr>
            <w:tcW w:w="709" w:type="dxa"/>
          </w:tcPr>
          <w:p w14:paraId="7B46456D"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3．4酸鹼反應、4．1反應速率</w:t>
            </w:r>
          </w:p>
        </w:tc>
        <w:tc>
          <w:tcPr>
            <w:tcW w:w="708" w:type="dxa"/>
          </w:tcPr>
          <w:p w14:paraId="51E269DF"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760472D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23B6925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2E193E1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196EF4EF"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50B737BC"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C2:人際關係與團隊合作</w:t>
            </w:r>
          </w:p>
        </w:tc>
        <w:tc>
          <w:tcPr>
            <w:tcW w:w="1737" w:type="dxa"/>
          </w:tcPr>
          <w:p w14:paraId="1FE2090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3D803FC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7C1CB6D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74A07E92"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w:t>
            </w:r>
            <w:r w:rsidRPr="00CA5264">
              <w:rPr>
                <w:rFonts w:ascii="新細明體" w:eastAsia="新細明體" w:hAnsi="新細明體" w:hint="eastAsia"/>
                <w:snapToGrid w:val="0"/>
                <w:sz w:val="16"/>
                <w:szCs w:val="16"/>
              </w:rPr>
              <w:lastRenderedPageBreak/>
              <w:t>養相關倫理與分辨資訊之可信程度及進行各種有計畫的觀察，以獲得有助於探究和問題解決的資訊。</w:t>
            </w:r>
          </w:p>
          <w:p w14:paraId="4C24A71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352B0788"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240" w:type="dxa"/>
          </w:tcPr>
          <w:p w14:paraId="4ECCAEA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1D54B94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p w14:paraId="56556BC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ti-</w:t>
            </w:r>
            <w:r w:rsidRPr="00CA5264">
              <w:rPr>
                <w:rFonts w:asciiTheme="minorEastAsia" w:hAnsiTheme="minorEastAsia" w:hint="eastAsia"/>
                <w:sz w:val="16"/>
                <w:szCs w:val="16"/>
              </w:rPr>
              <w:t>Ⅳ</w:t>
            </w:r>
            <w:r w:rsidRPr="00CA5264">
              <w:rPr>
                <w:rFonts w:asciiTheme="minorEastAsia" w:hAnsiTheme="minorEastAsia"/>
                <w:sz w:val="16"/>
                <w:szCs w:val="16"/>
              </w:rPr>
              <w:t>-1:能依據已知的自然科學知識概念，經由自我或團體探索與討論的過程，想像當使用的觀察方法或實驗方法改變時，其結果可能產生的差異；並能嘗試在指導下</w:t>
            </w:r>
            <w:r w:rsidRPr="00CA5264">
              <w:rPr>
                <w:rFonts w:asciiTheme="minorEastAsia" w:hAnsiTheme="minorEastAsia"/>
                <w:sz w:val="16"/>
                <w:szCs w:val="16"/>
              </w:rPr>
              <w:lastRenderedPageBreak/>
              <w:t>以創新思考和方法得到新的模型、成品或結果。</w:t>
            </w:r>
          </w:p>
          <w:p w14:paraId="2614A2F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tm-</w:t>
            </w:r>
            <w:r w:rsidRPr="00CA5264">
              <w:rPr>
                <w:rFonts w:asciiTheme="minorEastAsia" w:hAnsiTheme="minorEastAsia" w:hint="eastAsia"/>
                <w:sz w:val="16"/>
                <w:szCs w:val="16"/>
              </w:rPr>
              <w:t>Ⅳ</w:t>
            </w:r>
            <w:r w:rsidRPr="00CA5264">
              <w:rPr>
                <w:rFonts w:asciiTheme="minorEastAsia" w:hAnsiTheme="minorEastAsia"/>
                <w:sz w:val="16"/>
                <w:szCs w:val="16"/>
              </w:rPr>
              <w:t>-1:能從實驗過程、合作討論中理解較複雜的自然界模型，並能評估不同模型的優點和限制，進能應用在後續的科學理解或生活。</w:t>
            </w:r>
          </w:p>
          <w:p w14:paraId="00BC7FE7"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-1:能分析歸納、製作圖表、使用資訊</w:t>
            </w:r>
            <w:r w:rsidRPr="00CA5264">
              <w:rPr>
                <w:rFonts w:asciiTheme="minorEastAsia" w:hAnsiTheme="minorEastAsia" w:hint="eastAsia"/>
                <w:sz w:val="16"/>
                <w:szCs w:val="16"/>
              </w:rPr>
              <w:t>及</w:t>
            </w:r>
            <w:r w:rsidRPr="00CA5264">
              <w:rPr>
                <w:rFonts w:asciiTheme="minorEastAsia" w:hAnsiTheme="minorEastAsia"/>
                <w:sz w:val="16"/>
                <w:szCs w:val="16"/>
              </w:rPr>
              <w:t>數學等方法，整理資訊或數據。</w:t>
            </w:r>
          </w:p>
        </w:tc>
        <w:tc>
          <w:tcPr>
            <w:tcW w:w="1101" w:type="dxa"/>
          </w:tcPr>
          <w:p w14:paraId="5A836DC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lastRenderedPageBreak/>
              <w:t>Jd-</w:t>
            </w:r>
            <w:r w:rsidRPr="00CA5264">
              <w:rPr>
                <w:rFonts w:asciiTheme="minorEastAsia" w:hAnsiTheme="minorEastAsia" w:hint="eastAsia"/>
                <w:sz w:val="16"/>
                <w:szCs w:val="16"/>
              </w:rPr>
              <w:t>Ⅳ</w:t>
            </w:r>
            <w:r w:rsidRPr="00CA5264">
              <w:rPr>
                <w:rFonts w:asciiTheme="minorEastAsia" w:hAnsiTheme="minorEastAsia"/>
                <w:sz w:val="16"/>
                <w:szCs w:val="16"/>
              </w:rPr>
              <w:t>-6:實驗認識酸與鹼中和生成鹽和水，並可放出熱量而使溫度變化。</w:t>
            </w:r>
          </w:p>
          <w:p w14:paraId="7F1823B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Jb-</w:t>
            </w:r>
            <w:r w:rsidRPr="00CA5264">
              <w:rPr>
                <w:rFonts w:asciiTheme="minorEastAsia" w:hAnsiTheme="minorEastAsia" w:hint="eastAsia"/>
                <w:sz w:val="16"/>
                <w:szCs w:val="16"/>
              </w:rPr>
              <w:t>Ⅳ</w:t>
            </w:r>
            <w:r w:rsidRPr="00CA5264">
              <w:rPr>
                <w:rFonts w:asciiTheme="minorEastAsia" w:hAnsiTheme="minorEastAsia"/>
                <w:sz w:val="16"/>
                <w:szCs w:val="16"/>
              </w:rPr>
              <w:t>-3:不同的離子在水溶液中可</w:t>
            </w:r>
            <w:r w:rsidRPr="00CA5264">
              <w:rPr>
                <w:rFonts w:asciiTheme="minorEastAsia" w:hAnsiTheme="minorEastAsia" w:hint="eastAsia"/>
                <w:sz w:val="16"/>
                <w:szCs w:val="16"/>
              </w:rPr>
              <w:t>能會</w:t>
            </w:r>
            <w:r w:rsidRPr="00CA5264">
              <w:rPr>
                <w:rFonts w:asciiTheme="minorEastAsia" w:hAnsiTheme="minorEastAsia"/>
                <w:sz w:val="16"/>
                <w:szCs w:val="16"/>
              </w:rPr>
              <w:t>發生沉澱、酸鹼中和</w:t>
            </w:r>
            <w:r w:rsidRPr="00CA5264">
              <w:rPr>
                <w:rFonts w:asciiTheme="minorEastAsia" w:hAnsiTheme="minorEastAsia" w:hint="eastAsia"/>
                <w:sz w:val="16"/>
                <w:szCs w:val="16"/>
              </w:rPr>
              <w:t>及</w:t>
            </w:r>
            <w:r w:rsidRPr="00CA5264">
              <w:rPr>
                <w:rFonts w:asciiTheme="minorEastAsia" w:hAnsiTheme="minorEastAsia"/>
                <w:sz w:val="16"/>
                <w:szCs w:val="16"/>
              </w:rPr>
              <w:t>氧化還原</w:t>
            </w:r>
            <w:r w:rsidRPr="00CA5264">
              <w:rPr>
                <w:rFonts w:asciiTheme="minorEastAsia" w:hAnsiTheme="minorEastAsia" w:hint="eastAsia"/>
                <w:sz w:val="16"/>
                <w:szCs w:val="16"/>
              </w:rPr>
              <w:t>等</w:t>
            </w:r>
            <w:r w:rsidRPr="00CA5264">
              <w:rPr>
                <w:rFonts w:asciiTheme="minorEastAsia" w:hAnsiTheme="minorEastAsia"/>
                <w:sz w:val="16"/>
                <w:szCs w:val="16"/>
              </w:rPr>
              <w:t>反應。</w:t>
            </w:r>
          </w:p>
          <w:p w14:paraId="5C20264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Jd-</w:t>
            </w:r>
            <w:r w:rsidRPr="00CA5264">
              <w:rPr>
                <w:rFonts w:asciiTheme="minorEastAsia" w:hAnsiTheme="minorEastAsia" w:hint="eastAsia"/>
                <w:sz w:val="16"/>
                <w:szCs w:val="16"/>
              </w:rPr>
              <w:t>Ⅳ</w:t>
            </w:r>
            <w:r w:rsidRPr="00CA5264">
              <w:rPr>
                <w:rFonts w:asciiTheme="minorEastAsia" w:hAnsiTheme="minorEastAsia"/>
                <w:sz w:val="16"/>
                <w:szCs w:val="16"/>
              </w:rPr>
              <w:t>-5:酸、鹼、鹽類在日常生活中的應用與危險性。</w:t>
            </w:r>
          </w:p>
          <w:p w14:paraId="5868A417"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Je-</w:t>
            </w:r>
            <w:r w:rsidRPr="00CA5264">
              <w:rPr>
                <w:rFonts w:asciiTheme="minorEastAsia" w:hAnsiTheme="minorEastAsia" w:hint="eastAsia"/>
                <w:sz w:val="16"/>
                <w:szCs w:val="16"/>
              </w:rPr>
              <w:t>Ⅳ</w:t>
            </w:r>
            <w:r w:rsidRPr="00CA5264">
              <w:rPr>
                <w:rFonts w:asciiTheme="minorEastAsia" w:hAnsiTheme="minorEastAsia"/>
                <w:sz w:val="16"/>
                <w:szCs w:val="16"/>
              </w:rPr>
              <w:t>-1:實驗認識化學反應速率及影響反應速率的因素</w:t>
            </w:r>
            <w:r w:rsidRPr="00CA5264">
              <w:rPr>
                <w:rFonts w:asciiTheme="minorEastAsia" w:hAnsiTheme="minorEastAsia" w:hint="eastAsia"/>
                <w:sz w:val="16"/>
                <w:szCs w:val="16"/>
              </w:rPr>
              <w:t>，例如</w:t>
            </w:r>
            <w:r w:rsidRPr="00CA5264">
              <w:rPr>
                <w:rFonts w:asciiTheme="minorEastAsia" w:hAnsiTheme="minorEastAsia"/>
                <w:sz w:val="16"/>
                <w:szCs w:val="16"/>
              </w:rPr>
              <w:t>：本性、溫度、濃度、接觸面積</w:t>
            </w:r>
            <w:r w:rsidRPr="00CA5264">
              <w:rPr>
                <w:rFonts w:asciiTheme="minorEastAsia" w:hAnsiTheme="minorEastAsia" w:hint="eastAsia"/>
                <w:sz w:val="16"/>
                <w:szCs w:val="16"/>
              </w:rPr>
              <w:t>及</w:t>
            </w:r>
            <w:r w:rsidRPr="00CA5264">
              <w:rPr>
                <w:rFonts w:asciiTheme="minorEastAsia" w:hAnsiTheme="minorEastAsia"/>
                <w:sz w:val="16"/>
                <w:szCs w:val="16"/>
              </w:rPr>
              <w:t>催化劑。</w:t>
            </w:r>
          </w:p>
        </w:tc>
        <w:tc>
          <w:tcPr>
            <w:tcW w:w="1171" w:type="dxa"/>
          </w:tcPr>
          <w:p w14:paraId="416BF8B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藉由酸與鹼的反應實驗認識中和反應。</w:t>
            </w:r>
          </w:p>
          <w:p w14:paraId="6630A58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簡介日常生活中常見的酸鹼中和應用。</w:t>
            </w:r>
          </w:p>
          <w:p w14:paraId="734BC06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介紹常見的鹽類及其性質。</w:t>
            </w:r>
          </w:p>
          <w:p w14:paraId="3C201EE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化學反應進行的快慢，通常以單位時間內，反應物的消耗量或生成物的產量表示。</w:t>
            </w:r>
          </w:p>
          <w:p w14:paraId="374D8F4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物質由粒子組成，產生碰撞才有可能發生化學反應。</w:t>
            </w:r>
          </w:p>
          <w:p w14:paraId="357D919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6</w:t>
            </w:r>
            <w:r w:rsidRPr="00CA5264">
              <w:rPr>
                <w:rFonts w:asciiTheme="minorEastAsia" w:hAnsiTheme="minorEastAsia" w:hint="eastAsia"/>
                <w:sz w:val="16"/>
                <w:szCs w:val="16"/>
              </w:rPr>
              <w:t>. 物質活性越大，反應速率越快。</w:t>
            </w:r>
          </w:p>
          <w:p w14:paraId="2D46698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物質的濃度越大，相同體積內的粒子數越多，碰撞機會越大，</w:t>
            </w:r>
            <w:r w:rsidRPr="00CA5264">
              <w:rPr>
                <w:rFonts w:asciiTheme="minorEastAsia" w:hAnsiTheme="minorEastAsia" w:hint="eastAsia"/>
                <w:sz w:val="16"/>
                <w:szCs w:val="16"/>
              </w:rPr>
              <w:lastRenderedPageBreak/>
              <w:t>則反應速率越快。</w:t>
            </w:r>
          </w:p>
          <w:p w14:paraId="014B319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8</w:t>
            </w:r>
            <w:r w:rsidRPr="00CA5264">
              <w:rPr>
                <w:rFonts w:asciiTheme="minorEastAsia" w:hAnsiTheme="minorEastAsia" w:hint="eastAsia"/>
                <w:sz w:val="16"/>
                <w:szCs w:val="16"/>
              </w:rPr>
              <w:t>. 物質切割越細，表面積越大，碰撞機會越大，則反應速率越快。</w:t>
            </w:r>
          </w:p>
          <w:p w14:paraId="3CB9532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9</w:t>
            </w:r>
            <w:r w:rsidRPr="00CA5264">
              <w:rPr>
                <w:rFonts w:asciiTheme="minorEastAsia" w:hAnsiTheme="minorEastAsia" w:hint="eastAsia"/>
                <w:sz w:val="16"/>
                <w:szCs w:val="16"/>
              </w:rPr>
              <w:t>. 物質的溫度越高，則反應速率越快。</w:t>
            </w:r>
          </w:p>
          <w:p w14:paraId="2CB6EF7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10</w:t>
            </w:r>
            <w:r w:rsidRPr="00CA5264">
              <w:rPr>
                <w:rFonts w:asciiTheme="minorEastAsia" w:hAnsiTheme="minorEastAsia" w:hint="eastAsia"/>
                <w:sz w:val="16"/>
                <w:szCs w:val="16"/>
              </w:rPr>
              <w:t>. 催化劑參加化學反應，可以增加反應速率卻不影響生成物的產生量。</w:t>
            </w:r>
          </w:p>
          <w:p w14:paraId="010D31F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11. </w:t>
            </w:r>
            <w:r w:rsidRPr="00CA5264">
              <w:rPr>
                <w:rFonts w:asciiTheme="minorEastAsia" w:hAnsiTheme="minorEastAsia" w:hint="eastAsia"/>
                <w:sz w:val="16"/>
                <w:szCs w:val="16"/>
              </w:rPr>
              <w:t>生物體中的催化劑稱為酶或酵素。</w:t>
            </w:r>
          </w:p>
        </w:tc>
        <w:tc>
          <w:tcPr>
            <w:tcW w:w="2973" w:type="dxa"/>
            <w:shd w:val="clear" w:color="auto" w:fill="auto"/>
          </w:tcPr>
          <w:p w14:paraId="7242E87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lastRenderedPageBreak/>
              <w:t>1. 建立以下概念：發生中和反應時，共同產物是水；酸或鹼的種類改變時，會產生不同種類的鹽。</w:t>
            </w:r>
          </w:p>
          <w:p w14:paraId="0BDCC9E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探討生活中的酸鹼中和，並且討論其作用與影響。</w:t>
            </w:r>
          </w:p>
          <w:p w14:paraId="3039F8B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說明自然界中易溶於水和難溶於水的鹽類，有何不同的現象，並提問學生海水中的鹽分由來。</w:t>
            </w:r>
          </w:p>
          <w:p w14:paraId="3B08140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講授鹽類的溶解程度不盡相同，水中反應所產生的鹽，如果是易溶於水，則不會出現沉澱現象，如果鹽難溶於水，則會出現沉澱現象，並舉例說明。</w:t>
            </w:r>
          </w:p>
          <w:p w14:paraId="3FF4E7D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介紹常見鹽類的性質與用途，說出碳酸鈉與碳酸氫鈉的性質。</w:t>
            </w:r>
          </w:p>
          <w:p w14:paraId="316F361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連結「自然暖身操」提問，複習酸鹼中和原理。</w:t>
            </w:r>
          </w:p>
          <w:p w14:paraId="127BDEE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發泡錠的溶解時，產生的泡泡為什麼有時很多、有時很少？再由節日的煙火、廚房鐵製用品的生鏽引起興趣，再引入反應速率快慢的情形。</w:t>
            </w:r>
          </w:p>
          <w:p w14:paraId="35236B7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評量學生是否知道化學反應速率有快慢之分以及是否能舉例。</w:t>
            </w:r>
          </w:p>
          <w:p w14:paraId="2ADE470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化學反應的快慢可以用反應速率來表示，而反應速率可藉由觀察反應物或生成物的變化量得知。</w:t>
            </w:r>
          </w:p>
          <w:p w14:paraId="2C5814D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以鐵在空氣中容易生鏽，金久置不會生鏽為例，說明性質會影響反應速率的快慢。</w:t>
            </w:r>
          </w:p>
          <w:p w14:paraId="4A2342A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讓學生先預測示範實驗哪一管反應速率比較快？</w:t>
            </w:r>
          </w:p>
          <w:p w14:paraId="45C111B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結束後請學生說看看預測結果和觀</w:t>
            </w:r>
            <w:r w:rsidRPr="00CA5264">
              <w:rPr>
                <w:rFonts w:asciiTheme="minorEastAsia" w:hAnsiTheme="minorEastAsia" w:hint="eastAsia"/>
                <w:sz w:val="16"/>
                <w:szCs w:val="16"/>
              </w:rPr>
              <w:lastRenderedPageBreak/>
              <w:t>察結果是否相同。</w:t>
            </w:r>
          </w:p>
          <w:p w14:paraId="1AD1FF9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說明碰撞理論，並說明濃度與反應速率的關係。</w:t>
            </w:r>
          </w:p>
          <w:p w14:paraId="0546F05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為什麼烤肉時吹風會讓使木炭燃燒更旺盛？引導學生思考濃度對反應速率的影響以及日常生活的應用。</w:t>
            </w:r>
          </w:p>
          <w:p w14:paraId="0D7FF59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可讓學生先預測示範實驗哪一管反應速率比較快？</w:t>
            </w:r>
          </w:p>
          <w:p w14:paraId="00FD07C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請學生說看看預測結果和觀察結果是否相同。</w:t>
            </w:r>
          </w:p>
          <w:p w14:paraId="0620556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17. 提問“實驗的結果要如何解釋呢?”。可用前面的碰撞理論說明，再說明表面積與反應速率的關係。</w:t>
            </w:r>
          </w:p>
          <w:p w14:paraId="217930C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18. 以火媒棒等例子引導思考表面積對反應速率的影響以及生活應用。</w:t>
            </w:r>
          </w:p>
          <w:p w14:paraId="415117E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19. 進行反應速率實驗。讓學生先預測溫度越高，反應速率是越快還是越慢或是沒有影響？</w:t>
            </w:r>
          </w:p>
          <w:p w14:paraId="5F0E7F5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20. 請在通風良好處並配戴口罩進行。</w:t>
            </w:r>
          </w:p>
          <w:p w14:paraId="4A376E1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21. 引導理解實驗設計，藉由觀察黃色硫沉澱遮住十字的速率，探討溫度對反應速率的影響與關係。</w:t>
            </w:r>
          </w:p>
          <w:p w14:paraId="4B883C0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22. 每次黃色硫沉澱遮住十字，就代表生成一定的量，因此所需時間越短者，反應速率越快。歸納引導出溫度越高，反應速率越快的概念。</w:t>
            </w:r>
          </w:p>
          <w:p w14:paraId="4472DAA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23. 延伸舉例並引導學生理解生活應用。</w:t>
            </w:r>
          </w:p>
        </w:tc>
        <w:tc>
          <w:tcPr>
            <w:tcW w:w="567" w:type="dxa"/>
          </w:tcPr>
          <w:p w14:paraId="053B7F9B" w14:textId="315AEBF7"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0" w:type="dxa"/>
          </w:tcPr>
          <w:p w14:paraId="569B1A9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各種花及水果皮等實品及萃取出的汁液。</w:t>
            </w:r>
          </w:p>
          <w:p w14:paraId="17584FC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石蕊試紙、酚酞指示劑。</w:t>
            </w:r>
          </w:p>
          <w:p w14:paraId="31F84F5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廣用試紙或指示劑。</w:t>
            </w:r>
          </w:p>
          <w:p w14:paraId="1E09A21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pH計。</w:t>
            </w:r>
          </w:p>
          <w:p w14:paraId="729C172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實驗器材與藥品。</w:t>
            </w:r>
          </w:p>
          <w:p w14:paraId="693057D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示範實驗所需器材：試管、灰石、小鐵錘、鹽酸。</w:t>
            </w:r>
          </w:p>
        </w:tc>
        <w:tc>
          <w:tcPr>
            <w:tcW w:w="709" w:type="dxa"/>
          </w:tcPr>
          <w:p w14:paraId="7EA6502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4D5EF1B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4E6AEC3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76F5D14D"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4F6B5B73"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64A03AF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72022C87"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58733658"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p w14:paraId="56F8BF2F"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【安全教育】</w:t>
            </w:r>
          </w:p>
          <w:p w14:paraId="1FCB5986"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w:t>
            </w:r>
            <w:r w:rsidRPr="00357257">
              <w:rPr>
                <w:rFonts w:ascii="新細明體" w:hAnsi="新細明體" w:cs="Times New Roman" w:hint="eastAsia"/>
                <w:color w:val="auto"/>
                <w:kern w:val="2"/>
                <w:sz w:val="16"/>
                <w:szCs w:val="16"/>
              </w:rPr>
              <w:lastRenderedPageBreak/>
              <w:t>的意義。</w:t>
            </w:r>
          </w:p>
        </w:tc>
        <w:tc>
          <w:tcPr>
            <w:tcW w:w="850" w:type="dxa"/>
            <w:shd w:val="clear" w:color="auto" w:fill="auto"/>
          </w:tcPr>
          <w:p w14:paraId="57362F49"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lastRenderedPageBreak/>
              <w:t>數學</w:t>
            </w:r>
          </w:p>
          <w:p w14:paraId="54C0F9E8"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47833E8C" w14:textId="77777777" w:rsidTr="00ED18E0">
        <w:tc>
          <w:tcPr>
            <w:tcW w:w="539" w:type="dxa"/>
          </w:tcPr>
          <w:p w14:paraId="571EDE73"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九</w:t>
            </w:r>
          </w:p>
        </w:tc>
        <w:tc>
          <w:tcPr>
            <w:tcW w:w="709" w:type="dxa"/>
          </w:tcPr>
          <w:p w14:paraId="5648CBA6"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4/12-4/16</w:t>
            </w:r>
          </w:p>
        </w:tc>
        <w:tc>
          <w:tcPr>
            <w:tcW w:w="709" w:type="dxa"/>
          </w:tcPr>
          <w:p w14:paraId="41B99265"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第4章反應速率與平衡</w:t>
            </w:r>
          </w:p>
        </w:tc>
        <w:tc>
          <w:tcPr>
            <w:tcW w:w="709" w:type="dxa"/>
          </w:tcPr>
          <w:p w14:paraId="07320689"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4．1反應速率、4．2可逆反應與平衡</w:t>
            </w:r>
          </w:p>
        </w:tc>
        <w:tc>
          <w:tcPr>
            <w:tcW w:w="708" w:type="dxa"/>
          </w:tcPr>
          <w:p w14:paraId="2531611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726615A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51599C4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75CC5BB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3BE7E0E9"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49AC2BAD"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6D146E4D"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C2:人際關係與團隊合作</w:t>
            </w:r>
          </w:p>
        </w:tc>
        <w:tc>
          <w:tcPr>
            <w:tcW w:w="1737" w:type="dxa"/>
          </w:tcPr>
          <w:p w14:paraId="43D873BD"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61DCE590"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725F9F39"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96C4CB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AC7B77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4AD5FF6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0EB52FCD"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240" w:type="dxa"/>
          </w:tcPr>
          <w:p w14:paraId="57F7833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ti-</w:t>
            </w:r>
            <w:r w:rsidRPr="00CA5264">
              <w:rPr>
                <w:rFonts w:asciiTheme="minorEastAsia" w:hAnsiTheme="minorEastAsia" w:hint="eastAsia"/>
                <w:sz w:val="16"/>
                <w:szCs w:val="16"/>
              </w:rPr>
              <w:t>Ⅳ</w:t>
            </w:r>
            <w:r w:rsidRPr="00CA5264">
              <w:rPr>
                <w:rFonts w:asciiTheme="minorEastAsia" w:hAnsiTheme="minorEastAsia"/>
                <w:sz w:val="16"/>
                <w:szCs w:val="16"/>
              </w:rPr>
              <w:t>-1:能依據已知的自然科學知識概念，經由自我或團體探索與討論的過程，想像當使用的觀察方法或實驗方法改變時，其結果可能產生的差異；並能嘗試在指導下以創新思考和方法得到新的模型、成品或結果。</w:t>
            </w:r>
          </w:p>
          <w:p w14:paraId="4D71DA9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tm-</w:t>
            </w:r>
            <w:r w:rsidRPr="00CA5264">
              <w:rPr>
                <w:rFonts w:asciiTheme="minorEastAsia" w:hAnsiTheme="minorEastAsia" w:hint="eastAsia"/>
                <w:sz w:val="16"/>
                <w:szCs w:val="16"/>
              </w:rPr>
              <w:t>Ⅳ</w:t>
            </w:r>
            <w:r w:rsidRPr="00CA5264">
              <w:rPr>
                <w:rFonts w:asciiTheme="minorEastAsia" w:hAnsiTheme="minorEastAsia"/>
                <w:sz w:val="16"/>
                <w:szCs w:val="16"/>
              </w:rPr>
              <w:t>-1:能從實驗過程、合作討論中理解較複雜的自然界模型，並能評估不同模型的優點和限制，進能應用在後續的科學理解或生活。</w:t>
            </w:r>
          </w:p>
          <w:p w14:paraId="23DB347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-1:能分析歸納、製作圖表、使用資訊</w:t>
            </w:r>
            <w:r w:rsidRPr="00CA5264">
              <w:rPr>
                <w:rFonts w:asciiTheme="minorEastAsia" w:hAnsiTheme="minorEastAsia" w:hint="eastAsia"/>
                <w:sz w:val="16"/>
                <w:szCs w:val="16"/>
              </w:rPr>
              <w:t>及</w:t>
            </w:r>
            <w:r w:rsidRPr="00CA5264">
              <w:rPr>
                <w:rFonts w:asciiTheme="minorEastAsia" w:hAnsiTheme="minorEastAsia"/>
                <w:sz w:val="16"/>
                <w:szCs w:val="16"/>
              </w:rPr>
              <w:t>數學等方法，整理資訊或數據。</w:t>
            </w:r>
          </w:p>
          <w:p w14:paraId="2B7769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1F26AC1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29A5D5A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tc>
        <w:tc>
          <w:tcPr>
            <w:tcW w:w="1101" w:type="dxa"/>
          </w:tcPr>
          <w:p w14:paraId="5A01A6C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Je-</w:t>
            </w:r>
            <w:r w:rsidRPr="00CA5264">
              <w:rPr>
                <w:rFonts w:asciiTheme="minorEastAsia" w:hAnsiTheme="minorEastAsia" w:hint="eastAsia"/>
                <w:sz w:val="16"/>
                <w:szCs w:val="16"/>
              </w:rPr>
              <w:t>Ⅳ</w:t>
            </w:r>
            <w:r w:rsidRPr="00CA5264">
              <w:rPr>
                <w:rFonts w:asciiTheme="minorEastAsia" w:hAnsiTheme="minorEastAsia"/>
                <w:sz w:val="16"/>
                <w:szCs w:val="16"/>
              </w:rPr>
              <w:t>-1:實驗認識化學反應速率及影響反應速率的因素</w:t>
            </w:r>
            <w:r w:rsidRPr="00CA5264">
              <w:rPr>
                <w:rFonts w:asciiTheme="minorEastAsia" w:hAnsiTheme="minorEastAsia" w:hint="eastAsia"/>
                <w:sz w:val="16"/>
                <w:szCs w:val="16"/>
              </w:rPr>
              <w:t>，例如</w:t>
            </w:r>
            <w:r w:rsidRPr="00CA5264">
              <w:rPr>
                <w:rFonts w:asciiTheme="minorEastAsia" w:hAnsiTheme="minorEastAsia"/>
                <w:sz w:val="16"/>
                <w:szCs w:val="16"/>
              </w:rPr>
              <w:t>：本性、溫度、濃度、接觸面積</w:t>
            </w:r>
            <w:r w:rsidRPr="00CA5264">
              <w:rPr>
                <w:rFonts w:asciiTheme="minorEastAsia" w:hAnsiTheme="minorEastAsia" w:hint="eastAsia"/>
                <w:sz w:val="16"/>
                <w:szCs w:val="16"/>
              </w:rPr>
              <w:t>及</w:t>
            </w:r>
            <w:r w:rsidRPr="00CA5264">
              <w:rPr>
                <w:rFonts w:asciiTheme="minorEastAsia" w:hAnsiTheme="minorEastAsia"/>
                <w:sz w:val="16"/>
                <w:szCs w:val="16"/>
              </w:rPr>
              <w:t>催化劑。</w:t>
            </w:r>
          </w:p>
          <w:p w14:paraId="0C6814F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Je-</w:t>
            </w:r>
            <w:r w:rsidRPr="00CA5264">
              <w:rPr>
                <w:rFonts w:asciiTheme="minorEastAsia" w:hAnsiTheme="minorEastAsia" w:hint="eastAsia"/>
                <w:sz w:val="16"/>
                <w:szCs w:val="16"/>
              </w:rPr>
              <w:t>Ⅳ</w:t>
            </w:r>
            <w:r w:rsidRPr="00CA5264">
              <w:rPr>
                <w:rFonts w:asciiTheme="minorEastAsia" w:hAnsiTheme="minorEastAsia"/>
                <w:sz w:val="16"/>
                <w:szCs w:val="16"/>
              </w:rPr>
              <w:t>-2:可逆反應。</w:t>
            </w:r>
          </w:p>
          <w:p w14:paraId="0FF8CDB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Je-</w:t>
            </w:r>
            <w:r w:rsidRPr="00CA5264">
              <w:rPr>
                <w:rFonts w:asciiTheme="minorEastAsia" w:hAnsiTheme="minorEastAsia" w:hint="eastAsia"/>
                <w:sz w:val="16"/>
                <w:szCs w:val="16"/>
              </w:rPr>
              <w:t>Ⅳ</w:t>
            </w:r>
            <w:r w:rsidRPr="00CA5264">
              <w:rPr>
                <w:rFonts w:asciiTheme="minorEastAsia" w:hAnsiTheme="minorEastAsia"/>
                <w:sz w:val="16"/>
                <w:szCs w:val="16"/>
              </w:rPr>
              <w:t>-3:化學平衡及溫度、濃度如何影響化學平衡的因素。</w:t>
            </w:r>
          </w:p>
        </w:tc>
        <w:tc>
          <w:tcPr>
            <w:tcW w:w="1171" w:type="dxa"/>
          </w:tcPr>
          <w:p w14:paraId="56F9206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化學反應進行的快慢，通常以單位時間內，反應物的消耗量或生成物的產量表示。</w:t>
            </w:r>
          </w:p>
          <w:p w14:paraId="2E5DD6D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物質由粒子組成，產生碰撞才有可能發生化學反應。</w:t>
            </w:r>
          </w:p>
          <w:p w14:paraId="6108608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物質的活性越大，則反應速率越快。</w:t>
            </w:r>
          </w:p>
          <w:p w14:paraId="196D0EF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物質的濃度越大，相同體積內的粒子數越多，碰撞機會越大，則反應速率越快。</w:t>
            </w:r>
          </w:p>
          <w:p w14:paraId="07E4CCD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物質切割越細，表面積越大，碰撞機會越大，則反應速率越快。</w:t>
            </w:r>
          </w:p>
          <w:p w14:paraId="6F9402A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物質的溫度越高，則反應速率越快。</w:t>
            </w:r>
          </w:p>
          <w:p w14:paraId="1C371F6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催化劑參加化學反應，可以增加反應速率卻不影響生成物的產生量。</w:t>
            </w:r>
          </w:p>
          <w:p w14:paraId="09BD998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8. </w:t>
            </w:r>
            <w:r w:rsidRPr="00CA5264">
              <w:rPr>
                <w:rFonts w:asciiTheme="minorEastAsia" w:hAnsiTheme="minorEastAsia" w:hint="eastAsia"/>
                <w:sz w:val="16"/>
                <w:szCs w:val="16"/>
              </w:rPr>
              <w:t>生物體中的催化劑稱為酶或酵素。</w:t>
            </w:r>
          </w:p>
          <w:p w14:paraId="49B880D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9</w:t>
            </w:r>
            <w:r w:rsidRPr="00CA5264">
              <w:rPr>
                <w:rFonts w:asciiTheme="minorEastAsia" w:hAnsiTheme="minorEastAsia" w:hint="eastAsia"/>
                <w:sz w:val="16"/>
                <w:szCs w:val="16"/>
              </w:rPr>
              <w:t>. 在一個正逆方向均可進行變化的過程中，若兩個方向的變化速率相等時，就會呈現動態平衡。</w:t>
            </w:r>
          </w:p>
          <w:p w14:paraId="463401B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10</w:t>
            </w:r>
            <w:r w:rsidRPr="00CA5264">
              <w:rPr>
                <w:rFonts w:asciiTheme="minorEastAsia" w:hAnsiTheme="minorEastAsia" w:hint="eastAsia"/>
                <w:sz w:val="16"/>
                <w:szCs w:val="16"/>
              </w:rPr>
              <w:t>. 有些化學反應的反應物變成產物後，產物可以再變回反應物，這種可以向二種方向進行的化學反應，稱為可逆反應。</w:t>
            </w:r>
          </w:p>
          <w:p w14:paraId="543381A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11</w:t>
            </w:r>
            <w:r w:rsidRPr="00CA5264">
              <w:rPr>
                <w:rFonts w:asciiTheme="minorEastAsia" w:hAnsiTheme="minorEastAsia" w:hint="eastAsia"/>
                <w:sz w:val="16"/>
                <w:szCs w:val="16"/>
              </w:rPr>
              <w:t>. 化學可逆反應達到動態平衡時，稱為化學平衡。</w:t>
            </w:r>
          </w:p>
          <w:p w14:paraId="5700F2C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12</w:t>
            </w:r>
            <w:r w:rsidRPr="00CA5264">
              <w:rPr>
                <w:rFonts w:asciiTheme="minorEastAsia" w:hAnsiTheme="minorEastAsia" w:hint="eastAsia"/>
                <w:sz w:val="16"/>
                <w:szCs w:val="16"/>
              </w:rPr>
              <w:t>. 改變環境因素（含濃度、溫度），造成化學平衡發生改變時，則平衡會朝向抵消改變的方向移動，而達成新的平衡。</w:t>
            </w:r>
          </w:p>
        </w:tc>
        <w:tc>
          <w:tcPr>
            <w:tcW w:w="2973" w:type="dxa"/>
            <w:shd w:val="clear" w:color="auto" w:fill="auto"/>
          </w:tcPr>
          <w:p w14:paraId="5A6D93D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回顧上學期氧氣製備的實驗，進行示範實驗：說明加入二氧化錳的燒杯，產生氧氣的速率較快，氧氣量充足。並一步探討二氧化錳在實驗中扮演的角色。</w:t>
            </w:r>
          </w:p>
          <w:p w14:paraId="38CE05C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從示範實驗接著說明催化劑的定義：「催化劑會改變反應速率，但是並不會改變其質量或化學性質」，並說明催化劑在化學反應式中的寫法。</w:t>
            </w:r>
          </w:p>
          <w:p w14:paraId="52C1BA7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介紹生物體內的催化劑—酵素，連結七年級生物課程所學。再提問”雙氧水碰觸到受傷的傷口，產生有氧氣的泡沫”(參考知識快遞的例子)。加深學生對於催化作用的生活連結。</w:t>
            </w:r>
          </w:p>
          <w:p w14:paraId="6D1ACF5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最後再引入催化劑在日常生活中的應用，例如：觸媒轉換器、哈伯法製氨。</w:t>
            </w:r>
          </w:p>
          <w:p w14:paraId="3890A58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利用「觀念速記」和「探索活動」複習本節所學。</w:t>
            </w:r>
          </w:p>
          <w:p w14:paraId="202B07F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呼應「自然暖身操」提問，了解溫度會影響發泡錠的反應速率，可由產生的氣泡和溶解的狀況觀察到。</w:t>
            </w:r>
          </w:p>
          <w:p w14:paraId="2DDDFD2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以「自然暖身操」為例引入，讓學生想想看為什麼兩杯水的水量會不同？進一步引導學生思考何謂動態平衡。</w:t>
            </w:r>
          </w:p>
          <w:p w14:paraId="38459A4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說明動態平衡需在密閉系統中進行，以巨觀來看，不產生變化，但微觀上，粒子仍繼續進行運動，在物理變化或化學反應中都可能發生。</w:t>
            </w:r>
          </w:p>
          <w:p w14:paraId="613BAEB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舉例說明可逆反應的意義，例如無水硫酸銅遇到水會變色是可逆的。</w:t>
            </w:r>
          </w:p>
          <w:p w14:paraId="49A9988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說明可逆反應的表示法。</w:t>
            </w:r>
          </w:p>
          <w:p w14:paraId="0A4DB09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舉例說明有些化學反應為可逆反應；有些化學反應則為不可逆反應。說明可逆反應與不可逆反應的意義。</w:t>
            </w:r>
          </w:p>
          <w:p w14:paraId="617D3FA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以硫酸銅含水與否的顏色變化，說明反應平衡是一種動態平衡。</w:t>
            </w:r>
          </w:p>
          <w:p w14:paraId="1CFF50C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教師可說明：在化學平衡中，若改變反應物或生成物的濃度、溫度和壓力等，會使平衡向正反應或逆反應的方向進行，直到正、逆反應速率相等時，又會達到新的平衡。</w:t>
            </w:r>
          </w:p>
          <w:p w14:paraId="09CB49E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說明鉻酸鉀溶液在酸、鹼性溶液中的顏色變化。評量學生是否知道鉻酸根離子與二鉻酸根離子顏色的不同。</w:t>
            </w:r>
          </w:p>
          <w:p w14:paraId="56DEC15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教師可利用課本上在密閉系統中二氧化氮和四氧化二氮的顏色變化，引導學生了解溫度對平衡移動的影響。</w:t>
            </w:r>
          </w:p>
          <w:p w14:paraId="3AABF6B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總結影響平衡移動的因素：濃度與溫度等，都會造成平衡移動。</w:t>
            </w:r>
          </w:p>
          <w:p w14:paraId="722437E5"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17. 連結「自然暖身操」提問，理解水杯加蓋形成密閉系統，蒸發和凝結速率達到動態平衡，所以水量看起來沒有變化，若水杯沒有加蓋，則未形成平衡，水會不斷蒸發成水蒸氣溢散。</w:t>
            </w:r>
          </w:p>
        </w:tc>
        <w:tc>
          <w:tcPr>
            <w:tcW w:w="567" w:type="dxa"/>
          </w:tcPr>
          <w:p w14:paraId="72814A98" w14:textId="145D67D7"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6517938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實驗器材與藥品。</w:t>
            </w:r>
          </w:p>
          <w:p w14:paraId="54840BB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示範實驗所需器材：試管、灰石、小鐵錘、鹽酸。</w:t>
            </w:r>
          </w:p>
          <w:p w14:paraId="68C36677"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示範實驗所需器材：雙氧水40mL、100mL燒杯2個、二氧化錳。</w:t>
            </w:r>
          </w:p>
        </w:tc>
        <w:tc>
          <w:tcPr>
            <w:tcW w:w="709" w:type="dxa"/>
          </w:tcPr>
          <w:p w14:paraId="2B3ED96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2526BC5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紙筆評量</w:t>
            </w:r>
          </w:p>
        </w:tc>
        <w:tc>
          <w:tcPr>
            <w:tcW w:w="709" w:type="dxa"/>
          </w:tcPr>
          <w:p w14:paraId="5A13A4AD"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3EA16999"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515CE9DF"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7485014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2D8FD96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p w14:paraId="029392E5"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【安全教育】</w:t>
            </w:r>
          </w:p>
          <w:p w14:paraId="72770C31"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tc>
        <w:tc>
          <w:tcPr>
            <w:tcW w:w="850" w:type="dxa"/>
            <w:shd w:val="clear" w:color="auto" w:fill="auto"/>
          </w:tcPr>
          <w:p w14:paraId="5C1BAC10"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2CA4C0C0"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517B1FFB" w14:textId="77777777" w:rsidTr="00ED18E0">
        <w:tc>
          <w:tcPr>
            <w:tcW w:w="539" w:type="dxa"/>
          </w:tcPr>
          <w:p w14:paraId="11034E90"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w:t>
            </w:r>
          </w:p>
        </w:tc>
        <w:tc>
          <w:tcPr>
            <w:tcW w:w="709" w:type="dxa"/>
          </w:tcPr>
          <w:p w14:paraId="46E9ABA6"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4/19-4/23</w:t>
            </w:r>
          </w:p>
        </w:tc>
        <w:tc>
          <w:tcPr>
            <w:tcW w:w="709" w:type="dxa"/>
          </w:tcPr>
          <w:p w14:paraId="0D6AE822"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第5章</w:t>
            </w:r>
          </w:p>
          <w:p w14:paraId="5958183F"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有機化合物</w:t>
            </w:r>
          </w:p>
        </w:tc>
        <w:tc>
          <w:tcPr>
            <w:tcW w:w="709" w:type="dxa"/>
          </w:tcPr>
          <w:p w14:paraId="23A7160F"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5．1認識有機化合物、5．2常見的有機化合物</w:t>
            </w:r>
          </w:p>
          <w:p w14:paraId="5C0609E0" w14:textId="77777777" w:rsidR="00766369" w:rsidRPr="0052708D" w:rsidRDefault="00766369" w:rsidP="00F55A1B">
            <w:pPr>
              <w:snapToGrid w:val="0"/>
              <w:jc w:val="both"/>
              <w:rPr>
                <w:rFonts w:ascii="新細明體" w:hAnsi="新細明體"/>
                <w:sz w:val="16"/>
                <w:szCs w:val="16"/>
              </w:rPr>
            </w:pPr>
          </w:p>
        </w:tc>
        <w:tc>
          <w:tcPr>
            <w:tcW w:w="708" w:type="dxa"/>
          </w:tcPr>
          <w:p w14:paraId="6EB5BAB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4CC86D8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401F6BE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107B40CE"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6371E80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23DFB33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57EBB1F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C2:人際關係與團隊合作</w:t>
            </w:r>
          </w:p>
          <w:p w14:paraId="0817B1F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10132B0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4A6633E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4DE33EDA"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1EF01A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691FDA1B"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05FF279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289F516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0303C6ED"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42F31D0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03AD98D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an-</w:t>
            </w:r>
            <w:r w:rsidRPr="00CA5264">
              <w:rPr>
                <w:rFonts w:asciiTheme="minorEastAsia" w:hAnsiTheme="minorEastAsia" w:hint="eastAsia"/>
                <w:sz w:val="16"/>
                <w:szCs w:val="16"/>
              </w:rPr>
              <w:t>Ⅳ</w:t>
            </w:r>
            <w:r w:rsidRPr="00CA5264">
              <w:rPr>
                <w:rFonts w:asciiTheme="minorEastAsia" w:hAnsiTheme="minorEastAsia"/>
                <w:sz w:val="16"/>
                <w:szCs w:val="16"/>
              </w:rPr>
              <w:t>-2:分辨科學知識的確定性和持久性</w:t>
            </w:r>
            <w:r w:rsidRPr="00CA5264">
              <w:rPr>
                <w:rFonts w:asciiTheme="minorEastAsia" w:hAnsiTheme="minorEastAsia" w:hint="eastAsia"/>
                <w:sz w:val="16"/>
                <w:szCs w:val="16"/>
              </w:rPr>
              <w:t>，</w:t>
            </w:r>
            <w:r w:rsidRPr="00CA5264">
              <w:rPr>
                <w:rFonts w:asciiTheme="minorEastAsia" w:hAnsiTheme="minorEastAsia"/>
                <w:sz w:val="16"/>
                <w:szCs w:val="16"/>
              </w:rPr>
              <w:t>會因科學研究的時空背景不同而有所變化。</w:t>
            </w:r>
          </w:p>
          <w:p w14:paraId="35CC83C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p w14:paraId="01E790A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tc>
        <w:tc>
          <w:tcPr>
            <w:tcW w:w="1101" w:type="dxa"/>
          </w:tcPr>
          <w:p w14:paraId="2BA5351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Jf-</w:t>
            </w:r>
            <w:r w:rsidRPr="00CA5264">
              <w:rPr>
                <w:rFonts w:asciiTheme="minorEastAsia" w:hAnsiTheme="minorEastAsia" w:hint="eastAsia"/>
                <w:sz w:val="16"/>
                <w:szCs w:val="16"/>
              </w:rPr>
              <w:t>Ⅳ</w:t>
            </w:r>
            <w:r w:rsidRPr="00CA5264">
              <w:rPr>
                <w:rFonts w:asciiTheme="minorEastAsia" w:hAnsiTheme="minorEastAsia"/>
                <w:sz w:val="16"/>
                <w:szCs w:val="16"/>
              </w:rPr>
              <w:t>-1:有機化合物與無機化合物的重要特徵。</w:t>
            </w:r>
          </w:p>
          <w:p w14:paraId="7BF2150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Cb-</w:t>
            </w:r>
            <w:r w:rsidRPr="00CA5264">
              <w:rPr>
                <w:rFonts w:asciiTheme="minorEastAsia" w:hAnsiTheme="minorEastAsia" w:hint="eastAsia"/>
                <w:sz w:val="16"/>
                <w:szCs w:val="16"/>
              </w:rPr>
              <w:t>Ⅳ</w:t>
            </w:r>
            <w:r w:rsidRPr="00CA5264">
              <w:rPr>
                <w:rFonts w:asciiTheme="minorEastAsia" w:hAnsiTheme="minorEastAsia"/>
                <w:sz w:val="16"/>
                <w:szCs w:val="16"/>
              </w:rPr>
              <w:t>-3:分子式相同會因原子排列方式不同而形成不同的物質。</w:t>
            </w:r>
          </w:p>
          <w:p w14:paraId="111CEF4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Jf-</w:t>
            </w:r>
            <w:r w:rsidRPr="00CA5264">
              <w:rPr>
                <w:rFonts w:asciiTheme="minorEastAsia" w:hAnsiTheme="minorEastAsia" w:hint="eastAsia"/>
                <w:sz w:val="16"/>
                <w:szCs w:val="16"/>
              </w:rPr>
              <w:t>Ⅳ</w:t>
            </w:r>
            <w:r w:rsidRPr="00CA5264">
              <w:rPr>
                <w:rFonts w:asciiTheme="minorEastAsia" w:hAnsiTheme="minorEastAsia"/>
                <w:sz w:val="16"/>
                <w:szCs w:val="16"/>
              </w:rPr>
              <w:t>-2:生活中常見的烷類、醇類、有機酸</w:t>
            </w:r>
            <w:r w:rsidRPr="00CA5264">
              <w:rPr>
                <w:rFonts w:asciiTheme="minorEastAsia" w:hAnsiTheme="minorEastAsia" w:hint="eastAsia"/>
                <w:sz w:val="16"/>
                <w:szCs w:val="16"/>
              </w:rPr>
              <w:t>及</w:t>
            </w:r>
            <w:r w:rsidRPr="00CA5264">
              <w:rPr>
                <w:rFonts w:asciiTheme="minorEastAsia" w:hAnsiTheme="minorEastAsia"/>
                <w:sz w:val="16"/>
                <w:szCs w:val="16"/>
              </w:rPr>
              <w:t>酯類。</w:t>
            </w:r>
          </w:p>
          <w:p w14:paraId="1E1452E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Nc-Ⅳ-3</w:t>
            </w:r>
            <w:r w:rsidRPr="00CA5264">
              <w:rPr>
                <w:rFonts w:asciiTheme="minorEastAsia" w:hAnsiTheme="minorEastAsia"/>
                <w:sz w:val="16"/>
                <w:szCs w:val="16"/>
              </w:rPr>
              <w:t>:</w:t>
            </w:r>
            <w:r w:rsidRPr="00CA5264">
              <w:rPr>
                <w:rFonts w:asciiTheme="minorEastAsia" w:hAnsiTheme="minorEastAsia" w:hint="eastAsia"/>
                <w:sz w:val="16"/>
                <w:szCs w:val="16"/>
              </w:rPr>
              <w:t>化石燃料的形成與特性。</w:t>
            </w:r>
          </w:p>
          <w:p w14:paraId="0CBC64A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Ma-Ⅳ-3</w:t>
            </w:r>
            <w:r w:rsidRPr="00CA5264">
              <w:rPr>
                <w:rFonts w:asciiTheme="minorEastAsia" w:hAnsiTheme="minorEastAsia"/>
                <w:sz w:val="16"/>
                <w:szCs w:val="16"/>
              </w:rPr>
              <w:t>:</w:t>
            </w:r>
            <w:r w:rsidRPr="00CA5264">
              <w:rPr>
                <w:rFonts w:asciiTheme="minorEastAsia" w:hAnsiTheme="minorEastAsia" w:hint="eastAsia"/>
                <w:sz w:val="16"/>
                <w:szCs w:val="16"/>
              </w:rPr>
              <w:t>不同的材料對生活及社會的影響。</w:t>
            </w:r>
          </w:p>
          <w:p w14:paraId="326DDEC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Jf-</w:t>
            </w:r>
            <w:r w:rsidRPr="00CA5264">
              <w:rPr>
                <w:rFonts w:asciiTheme="minorEastAsia" w:hAnsiTheme="minorEastAsia" w:hint="eastAsia"/>
                <w:sz w:val="16"/>
                <w:szCs w:val="16"/>
              </w:rPr>
              <w:t>Ⅳ</w:t>
            </w:r>
            <w:r w:rsidRPr="00CA5264">
              <w:rPr>
                <w:rFonts w:asciiTheme="minorEastAsia" w:hAnsiTheme="minorEastAsia"/>
                <w:sz w:val="16"/>
                <w:szCs w:val="16"/>
              </w:rPr>
              <w:t>-3:酯化與皂化反應。</w:t>
            </w:r>
          </w:p>
          <w:p w14:paraId="3C08C4D9" w14:textId="77777777" w:rsidR="00766369" w:rsidRPr="0052708D" w:rsidRDefault="00766369" w:rsidP="00F55A1B">
            <w:pPr>
              <w:snapToGrid w:val="0"/>
              <w:jc w:val="both"/>
              <w:rPr>
                <w:rFonts w:asciiTheme="minorEastAsia" w:hAnsiTheme="minorEastAsia"/>
                <w:sz w:val="16"/>
                <w:szCs w:val="16"/>
              </w:rPr>
            </w:pPr>
          </w:p>
        </w:tc>
        <w:tc>
          <w:tcPr>
            <w:tcW w:w="1171" w:type="dxa"/>
          </w:tcPr>
          <w:p w14:paraId="37748E0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認識早期有機化合物與無機化合物的區別，從生命體得來的化合物稱為有機化合物。</w:t>
            </w:r>
          </w:p>
          <w:p w14:paraId="0D796A2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了解有機化合物現代的定義。</w:t>
            </w:r>
          </w:p>
          <w:p w14:paraId="05EB0CB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經由加熱白砂糖、食鹽、麵粉、碳酸鈉，觀察並比較結果，以驗證有機化合物含有碳元素。</w:t>
            </w:r>
          </w:p>
          <w:p w14:paraId="25530C6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有機化合物是由碳、氫、氧、氮等原子結合而成。</w:t>
            </w:r>
          </w:p>
          <w:p w14:paraId="7E0F183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有機化合物會因為排列方式不同，形成性質不同的各種化合物。</w:t>
            </w:r>
          </w:p>
          <w:p w14:paraId="2421DA0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6</w:t>
            </w:r>
            <w:r w:rsidRPr="00CA5264">
              <w:rPr>
                <w:rFonts w:asciiTheme="minorEastAsia" w:hAnsiTheme="minorEastAsia" w:hint="eastAsia"/>
                <w:sz w:val="16"/>
                <w:szCs w:val="16"/>
              </w:rPr>
              <w:t>. 有機化合物只含碳氫兩元素的稱為烴類。</w:t>
            </w:r>
          </w:p>
          <w:p w14:paraId="41B6917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地殼內的化石燃料：煤、石油、天然氣等，均是由有機體經由地殼內高溫、高壓及地質作用後形成，這些燃料廣泛應用於生活中。</w:t>
            </w:r>
          </w:p>
          <w:p w14:paraId="13F7684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8</w:t>
            </w:r>
            <w:r w:rsidRPr="00CA5264">
              <w:rPr>
                <w:rFonts w:asciiTheme="minorEastAsia" w:hAnsiTheme="minorEastAsia" w:hint="eastAsia"/>
                <w:sz w:val="16"/>
                <w:szCs w:val="16"/>
              </w:rPr>
              <w:t>. 有機物中，由碳、氫、氧元素所組成的化合物包括醇類與有機酸類。</w:t>
            </w:r>
          </w:p>
          <w:p w14:paraId="15687B2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9</w:t>
            </w:r>
            <w:r w:rsidRPr="00CA5264">
              <w:rPr>
                <w:rFonts w:asciiTheme="minorEastAsia" w:hAnsiTheme="minorEastAsia" w:hint="eastAsia"/>
                <w:sz w:val="16"/>
                <w:szCs w:val="16"/>
              </w:rPr>
              <w:t>. 介紹生活中常見醇類與有機酸類的性質與應用。</w:t>
            </w:r>
          </w:p>
          <w:p w14:paraId="64488D2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10</w:t>
            </w:r>
            <w:r w:rsidRPr="00CA5264">
              <w:rPr>
                <w:rFonts w:asciiTheme="minorEastAsia" w:hAnsiTheme="minorEastAsia" w:hint="eastAsia"/>
                <w:sz w:val="16"/>
                <w:szCs w:val="16"/>
              </w:rPr>
              <w:t>. 說明有機酸與醇類經由濃硫酸催化後可以合成酯類。</w:t>
            </w:r>
          </w:p>
          <w:p w14:paraId="4E5D290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11</w:t>
            </w:r>
            <w:r w:rsidRPr="00CA5264">
              <w:rPr>
                <w:rFonts w:asciiTheme="minorEastAsia" w:hAnsiTheme="minorEastAsia" w:hint="eastAsia"/>
                <w:sz w:val="16"/>
                <w:szCs w:val="16"/>
              </w:rPr>
              <w:t>. 說明常見酯類的性質與應用。</w:t>
            </w:r>
          </w:p>
          <w:p w14:paraId="66FAD88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12</w:t>
            </w:r>
            <w:r w:rsidRPr="00CA5264">
              <w:rPr>
                <w:rFonts w:asciiTheme="minorEastAsia" w:hAnsiTheme="minorEastAsia" w:hint="eastAsia"/>
                <w:sz w:val="16"/>
                <w:szCs w:val="16"/>
              </w:rPr>
              <w:t>. 示範實驗酯類的合成。</w:t>
            </w:r>
          </w:p>
        </w:tc>
        <w:tc>
          <w:tcPr>
            <w:tcW w:w="2973" w:type="dxa"/>
            <w:shd w:val="clear" w:color="auto" w:fill="auto"/>
          </w:tcPr>
          <w:p w14:paraId="4052036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以「自然暖身操」為例引入，利用「鹽封烤魚」和「焦糖烤布蕾」兩道料理，讓學生討論為什麼糖會烤焦，鹽巴卻不會烤焦？呈現糖與食鹽的化學式，請學生說明有何不同。</w:t>
            </w:r>
          </w:p>
          <w:p w14:paraId="2559FF2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說明有機化合物的原始定義及現在的意義，並說明相關科學史，讓學生知道早期科學家認為有機物只能從生命體中獲得，但是現在也可用一般化合物製造許多有機物。</w:t>
            </w:r>
          </w:p>
          <w:p w14:paraId="089F635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討論日常生活中哪些物質是有機化合物？哪些物質是無機化合物？使學生能區別有機化合物與無機化合物。</w:t>
            </w:r>
          </w:p>
          <w:p w14:paraId="65B32CC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講授有機化合物皆含有碳，但是並非含碳的化合物皆為有機化合物。</w:t>
            </w:r>
          </w:p>
          <w:p w14:paraId="25CA2AF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實驗前提醒學生小心操作熱源；加熱後的蒸發皿溫度極高，應使用坩堝夾移動。</w:t>
            </w:r>
          </w:p>
          <w:p w14:paraId="57DED03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討論實驗中所觀察到的現象，並推論其結果。</w:t>
            </w:r>
          </w:p>
          <w:p w14:paraId="19E6DEA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從實驗結果，說明有機化合物的組成含有碳元素。</w:t>
            </w:r>
          </w:p>
          <w:p w14:paraId="48F9164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經由加熱白砂糖、食鹽、麵粉、碳酸鈉，觀察並比較結果，以驗證有機化合物含有碳元素。</w:t>
            </w:r>
          </w:p>
          <w:p w14:paraId="16D922B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回顧「自然暖身操」提問，以實驗結果說明、歸納有機化合物含有碳元素。</w:t>
            </w:r>
          </w:p>
          <w:p w14:paraId="2315E72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0</w:t>
            </w:r>
            <w:r w:rsidRPr="00CA5264">
              <w:rPr>
                <w:rFonts w:asciiTheme="minorEastAsia" w:hAnsiTheme="minorEastAsia" w:hint="eastAsia"/>
                <w:sz w:val="16"/>
                <w:szCs w:val="16"/>
              </w:rPr>
              <w:t>. 以「自然暖身操」為例引入，介紹廚房中常見的各種調味料，讓學生利用成分表進行分類，並說明分類的依據。引導學生注意有機化合物的不同特性。</w:t>
            </w:r>
          </w:p>
          <w:p w14:paraId="1A50A14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1</w:t>
            </w:r>
            <w:r w:rsidRPr="00CA5264">
              <w:rPr>
                <w:rFonts w:asciiTheme="minorEastAsia" w:hAnsiTheme="minorEastAsia" w:hint="eastAsia"/>
                <w:sz w:val="16"/>
                <w:szCs w:val="16"/>
              </w:rPr>
              <w:t>. 有機化合物的種類非常多，因為碳原子除了與其他種類的原子結合外，還可以彼此互相連結，形成各種不同的化合物。</w:t>
            </w:r>
          </w:p>
          <w:p w14:paraId="2246D9E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2</w:t>
            </w:r>
            <w:r w:rsidRPr="00CA5264">
              <w:rPr>
                <w:rFonts w:asciiTheme="minorEastAsia" w:hAnsiTheme="minorEastAsia" w:hint="eastAsia"/>
                <w:sz w:val="16"/>
                <w:szCs w:val="16"/>
              </w:rPr>
              <w:t>. 有機化合物的性質會隨原子的種類、數目、排列情形與結合方式而有所不同。</w:t>
            </w:r>
          </w:p>
          <w:p w14:paraId="13237CD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3</w:t>
            </w:r>
            <w:r w:rsidRPr="00CA5264">
              <w:rPr>
                <w:rFonts w:asciiTheme="minorEastAsia" w:hAnsiTheme="minorEastAsia" w:hint="eastAsia"/>
                <w:sz w:val="16"/>
                <w:szCs w:val="16"/>
              </w:rPr>
              <w:t>. 一般而言，原子排列情形與結合方式相似的有機化合物，化學性質也相似，可以歸成一類。</w:t>
            </w:r>
          </w:p>
          <w:p w14:paraId="5378335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4</w:t>
            </w:r>
            <w:r w:rsidRPr="00CA5264">
              <w:rPr>
                <w:rFonts w:asciiTheme="minorEastAsia" w:hAnsiTheme="minorEastAsia" w:hint="eastAsia"/>
                <w:sz w:val="16"/>
                <w:szCs w:val="16"/>
              </w:rPr>
              <w:t>. 組合甲醚與乙醇的模型，並請學生注意觀察，兩者組成元素與結構上有何異同。</w:t>
            </w:r>
          </w:p>
          <w:p w14:paraId="4556938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5</w:t>
            </w:r>
            <w:r w:rsidRPr="00CA5264">
              <w:rPr>
                <w:rFonts w:asciiTheme="minorEastAsia" w:hAnsiTheme="minorEastAsia" w:hint="eastAsia"/>
                <w:sz w:val="16"/>
                <w:szCs w:val="16"/>
              </w:rPr>
              <w:t>. 甲醚與乙醇的分子式相同，但是結構不同，稱為同分異構物，其性質會因結構關係而有所不同。相關知識可見教學百寶箱。</w:t>
            </w:r>
          </w:p>
          <w:p w14:paraId="2565A23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6</w:t>
            </w:r>
            <w:r w:rsidRPr="00CA5264">
              <w:rPr>
                <w:rFonts w:asciiTheme="minorEastAsia" w:hAnsiTheme="minorEastAsia" w:hint="eastAsia"/>
                <w:sz w:val="16"/>
                <w:szCs w:val="16"/>
              </w:rPr>
              <w:t>. 以乙醇和甲醚說明，有機化合物的性質與組成化合物元素的種類、數目及排列方式有關。</w:t>
            </w:r>
          </w:p>
        </w:tc>
        <w:tc>
          <w:tcPr>
            <w:tcW w:w="567" w:type="dxa"/>
          </w:tcPr>
          <w:p w14:paraId="470CF677" w14:textId="7191D9F8"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57580EF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實驗所需器材及藥品。</w:t>
            </w:r>
          </w:p>
          <w:p w14:paraId="684219F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常見的有機化合物圖卡組。</w:t>
            </w:r>
          </w:p>
          <w:p w14:paraId="4AEB714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香精油。</w:t>
            </w:r>
          </w:p>
          <w:p w14:paraId="45656205"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示範實驗所需器材與藥品：乙酸、乙醇、酒精燈、燒杯、試管。</w:t>
            </w:r>
          </w:p>
        </w:tc>
        <w:tc>
          <w:tcPr>
            <w:tcW w:w="709" w:type="dxa"/>
          </w:tcPr>
          <w:p w14:paraId="5D6E409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69B1CF5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紙筆評量</w:t>
            </w:r>
          </w:p>
        </w:tc>
        <w:tc>
          <w:tcPr>
            <w:tcW w:w="709" w:type="dxa"/>
          </w:tcPr>
          <w:p w14:paraId="656BB2DD"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【安全教育】</w:t>
            </w:r>
          </w:p>
          <w:p w14:paraId="6FB9B0F5"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p w14:paraId="41C69DB1"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安J2:判斷常見的事故傷害。</w:t>
            </w:r>
          </w:p>
          <w:p w14:paraId="7B9C5E59"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安J3:了解日常生活容易發生事故的原因。</w:t>
            </w:r>
          </w:p>
          <w:p w14:paraId="38DC6E60"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安J4:探討日常生活發生事故的影響因素。</w:t>
            </w:r>
          </w:p>
          <w:p w14:paraId="7B831E08"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【能源教育】</w:t>
            </w:r>
          </w:p>
          <w:p w14:paraId="70240BD8"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能J3:了解各式能源應用及創能、儲能與節能的原理。</w:t>
            </w:r>
          </w:p>
          <w:p w14:paraId="31E74FE3"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能J4:了解各種能量形式的轉換。</w:t>
            </w:r>
          </w:p>
          <w:p w14:paraId="11F07908"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【環境教育】</w:t>
            </w:r>
          </w:p>
          <w:p w14:paraId="515FD8E9"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sz w:val="16"/>
                <w:szCs w:val="16"/>
              </w:rPr>
              <w:t>環J14:了解能量流動及物質循環與生態系統運作的關係。</w:t>
            </w:r>
          </w:p>
          <w:p w14:paraId="6511348A"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【國際教育】</w:t>
            </w:r>
          </w:p>
          <w:p w14:paraId="6019806D"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國J3:了解我國與全球議題之關聯性。</w:t>
            </w:r>
          </w:p>
          <w:p w14:paraId="4D60BDD3"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國J4:尊重與欣賞世界不同文化的價值。</w:t>
            </w:r>
          </w:p>
        </w:tc>
        <w:tc>
          <w:tcPr>
            <w:tcW w:w="850" w:type="dxa"/>
            <w:shd w:val="clear" w:color="auto" w:fill="auto"/>
          </w:tcPr>
          <w:p w14:paraId="135F1488"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數學</w:t>
            </w:r>
          </w:p>
          <w:p w14:paraId="41A366D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社會</w:t>
            </w:r>
          </w:p>
          <w:p w14:paraId="34AC4FB8"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w:t>
            </w:r>
          </w:p>
        </w:tc>
      </w:tr>
      <w:tr w:rsidR="00766369" w:rsidRPr="0052708D" w14:paraId="7ACB3A37" w14:textId="77777777" w:rsidTr="00ED18E0">
        <w:tc>
          <w:tcPr>
            <w:tcW w:w="539" w:type="dxa"/>
          </w:tcPr>
          <w:p w14:paraId="7B86CDBA"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十一</w:t>
            </w:r>
          </w:p>
        </w:tc>
        <w:tc>
          <w:tcPr>
            <w:tcW w:w="709" w:type="dxa"/>
          </w:tcPr>
          <w:p w14:paraId="7D8F47D6"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4/26-4/30</w:t>
            </w:r>
          </w:p>
        </w:tc>
        <w:tc>
          <w:tcPr>
            <w:tcW w:w="709" w:type="dxa"/>
          </w:tcPr>
          <w:p w14:paraId="7CC3D2E7"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第5章有機化合物</w:t>
            </w:r>
          </w:p>
        </w:tc>
        <w:tc>
          <w:tcPr>
            <w:tcW w:w="709" w:type="dxa"/>
          </w:tcPr>
          <w:p w14:paraId="7F7ED2FD"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5．2常見的有機化合物、5．3肥皂與清潔劑</w:t>
            </w:r>
          </w:p>
        </w:tc>
        <w:tc>
          <w:tcPr>
            <w:tcW w:w="708" w:type="dxa"/>
          </w:tcPr>
          <w:p w14:paraId="3F71237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726AEAFD"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0AC5ECC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6619C50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05A911A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421751FE"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C2:人際關係與團隊合作</w:t>
            </w:r>
          </w:p>
        </w:tc>
        <w:tc>
          <w:tcPr>
            <w:tcW w:w="1737" w:type="dxa"/>
          </w:tcPr>
          <w:p w14:paraId="13B14FB3"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144B3203"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3CA6878"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27169318"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815CED8"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67AD071D"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240" w:type="dxa"/>
          </w:tcPr>
          <w:p w14:paraId="73F6CAC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p w14:paraId="5DCE666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523B27C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4270E2A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tc>
        <w:tc>
          <w:tcPr>
            <w:tcW w:w="1101" w:type="dxa"/>
          </w:tcPr>
          <w:p w14:paraId="7FB38B0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Cb-</w:t>
            </w:r>
            <w:r w:rsidRPr="00CA5264">
              <w:rPr>
                <w:rFonts w:asciiTheme="minorEastAsia" w:hAnsiTheme="minorEastAsia" w:hint="eastAsia"/>
                <w:sz w:val="16"/>
                <w:szCs w:val="16"/>
              </w:rPr>
              <w:t>Ⅳ</w:t>
            </w:r>
            <w:r w:rsidRPr="00CA5264">
              <w:rPr>
                <w:rFonts w:asciiTheme="minorEastAsia" w:hAnsiTheme="minorEastAsia"/>
                <w:sz w:val="16"/>
                <w:szCs w:val="16"/>
              </w:rPr>
              <w:t>-3:分子式相同會因原子排列方式不同而形成不同的物質。</w:t>
            </w:r>
          </w:p>
          <w:p w14:paraId="25E8DF5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Jf-</w:t>
            </w:r>
            <w:r w:rsidRPr="00CA5264">
              <w:rPr>
                <w:rFonts w:asciiTheme="minorEastAsia" w:hAnsiTheme="minorEastAsia" w:hint="eastAsia"/>
                <w:sz w:val="16"/>
                <w:szCs w:val="16"/>
              </w:rPr>
              <w:t>Ⅳ</w:t>
            </w:r>
            <w:r w:rsidRPr="00CA5264">
              <w:rPr>
                <w:rFonts w:asciiTheme="minorEastAsia" w:hAnsiTheme="minorEastAsia"/>
                <w:sz w:val="16"/>
                <w:szCs w:val="16"/>
              </w:rPr>
              <w:t>-2:生活中常見的烷類、醇類、有機酸</w:t>
            </w:r>
            <w:r w:rsidRPr="00CA5264">
              <w:rPr>
                <w:rFonts w:asciiTheme="minorEastAsia" w:hAnsiTheme="minorEastAsia" w:hint="eastAsia"/>
                <w:sz w:val="16"/>
                <w:szCs w:val="16"/>
              </w:rPr>
              <w:t>及</w:t>
            </w:r>
            <w:r w:rsidRPr="00CA5264">
              <w:rPr>
                <w:rFonts w:asciiTheme="minorEastAsia" w:hAnsiTheme="minorEastAsia"/>
                <w:sz w:val="16"/>
                <w:szCs w:val="16"/>
              </w:rPr>
              <w:t>酯類。</w:t>
            </w:r>
          </w:p>
          <w:p w14:paraId="71CCB9C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Jf-</w:t>
            </w:r>
            <w:r w:rsidRPr="00CA5264">
              <w:rPr>
                <w:rFonts w:asciiTheme="minorEastAsia" w:hAnsiTheme="minorEastAsia" w:hint="eastAsia"/>
                <w:sz w:val="16"/>
                <w:szCs w:val="16"/>
              </w:rPr>
              <w:t>Ⅳ</w:t>
            </w:r>
            <w:r w:rsidRPr="00CA5264">
              <w:rPr>
                <w:rFonts w:asciiTheme="minorEastAsia" w:hAnsiTheme="minorEastAsia"/>
                <w:sz w:val="16"/>
                <w:szCs w:val="16"/>
              </w:rPr>
              <w:t>-3:酯化與皂化反應。</w:t>
            </w:r>
          </w:p>
          <w:p w14:paraId="5600422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Nc-Ⅳ-3</w:t>
            </w:r>
            <w:r w:rsidRPr="00CA5264">
              <w:rPr>
                <w:rFonts w:asciiTheme="minorEastAsia" w:hAnsiTheme="minorEastAsia"/>
                <w:sz w:val="16"/>
                <w:szCs w:val="16"/>
              </w:rPr>
              <w:t>:</w:t>
            </w:r>
            <w:r w:rsidRPr="00CA5264">
              <w:rPr>
                <w:rFonts w:asciiTheme="minorEastAsia" w:hAnsiTheme="minorEastAsia" w:hint="eastAsia"/>
                <w:sz w:val="16"/>
                <w:szCs w:val="16"/>
              </w:rPr>
              <w:t>化石燃料的形成與特性。</w:t>
            </w:r>
          </w:p>
          <w:p w14:paraId="62F71FB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Ma-Ⅳ-3</w:t>
            </w:r>
            <w:r w:rsidRPr="00CA5264">
              <w:rPr>
                <w:rFonts w:asciiTheme="minorEastAsia" w:hAnsiTheme="minorEastAsia"/>
                <w:sz w:val="16"/>
                <w:szCs w:val="16"/>
              </w:rPr>
              <w:t>:</w:t>
            </w:r>
            <w:r w:rsidRPr="00CA5264">
              <w:rPr>
                <w:rFonts w:asciiTheme="minorEastAsia" w:hAnsiTheme="minorEastAsia" w:hint="eastAsia"/>
                <w:sz w:val="16"/>
                <w:szCs w:val="16"/>
              </w:rPr>
              <w:t>不同的材料對生活及社會的影響。</w:t>
            </w:r>
          </w:p>
        </w:tc>
        <w:tc>
          <w:tcPr>
            <w:tcW w:w="1171" w:type="dxa"/>
          </w:tcPr>
          <w:p w14:paraId="3D87D2B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有機化合物是由碳、氫、氧、氮等原子結合而成。</w:t>
            </w:r>
          </w:p>
          <w:p w14:paraId="1EABBBA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有機化合物會因為排列方式不同，形成性質不同的各種化合物。</w:t>
            </w:r>
          </w:p>
          <w:p w14:paraId="3D49E0B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有機化合物只含碳氫兩元素的稱為烴類。</w:t>
            </w:r>
          </w:p>
          <w:p w14:paraId="563E7C0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地殼內的化石燃料：煤、石油、天然氣等，均是由有機體經由地殼內高溫、高壓及地質作用後形成，這些燃料廣泛應用於生活中。</w:t>
            </w:r>
          </w:p>
          <w:p w14:paraId="362A326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有機物中，由碳、氫、氧元素所組成的化合物包括醇類與有機酸類。</w:t>
            </w:r>
          </w:p>
          <w:p w14:paraId="0BDC62E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介紹生活中常見醇類與有機酸類的性質與應用。</w:t>
            </w:r>
          </w:p>
          <w:p w14:paraId="20CBD8D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說明有機酸與醇類經由濃硫酸催化後可以合成酯類。</w:t>
            </w:r>
          </w:p>
          <w:p w14:paraId="474A998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說明常見酯類的性質與應用。</w:t>
            </w:r>
          </w:p>
          <w:p w14:paraId="13F0BFB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示範實驗酯類的合成。</w:t>
            </w:r>
          </w:p>
          <w:p w14:paraId="15F68F2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0</w:t>
            </w:r>
            <w:r w:rsidRPr="00CA5264">
              <w:rPr>
                <w:rFonts w:asciiTheme="minorEastAsia" w:hAnsiTheme="minorEastAsia" w:hint="eastAsia"/>
                <w:sz w:val="16"/>
                <w:szCs w:val="16"/>
              </w:rPr>
              <w:t>. 肥皂的製備（皂化反應）實驗。</w:t>
            </w:r>
          </w:p>
          <w:p w14:paraId="2EDE278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11</w:t>
            </w:r>
            <w:r w:rsidRPr="00CA5264">
              <w:rPr>
                <w:rFonts w:asciiTheme="minorEastAsia" w:hAnsiTheme="minorEastAsia" w:hint="eastAsia"/>
                <w:sz w:val="16"/>
                <w:szCs w:val="16"/>
              </w:rPr>
              <w:t>. 利用實作方式檢驗肥皂能消除油與水的分界面（肥皂的清潔力）。</w:t>
            </w:r>
          </w:p>
        </w:tc>
        <w:tc>
          <w:tcPr>
            <w:tcW w:w="2973" w:type="dxa"/>
            <w:shd w:val="clear" w:color="auto" w:fill="auto"/>
          </w:tcPr>
          <w:p w14:paraId="1B9E480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說明原油和天然氣等化石燃料是古代生物死亡後，其遺骸經泥沙掩埋沉積，長期受到細菌與地底高溫高壓作用，逐漸分解、衍化而成。</w:t>
            </w:r>
          </w:p>
          <w:p w14:paraId="223DBE9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說明只含碳、氫兩種元素的有機化合物統稱為烴，烴類還包含了其他種類，但是此處只說明學生常見的烷類，並簡述烷類的特性。</w:t>
            </w:r>
          </w:p>
          <w:p w14:paraId="35C5410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分項介紹原油、天然氣與液化石油氣。介紹將原油分餾可以得到許多物質，但所得到並非是純物質，仍為烴的混合物。</w:t>
            </w:r>
          </w:p>
          <w:p w14:paraId="6B5BAC4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可趁機宣導家中的瓦斯桶以及熱水器等不宜位於密閉空間內，以免造成一氧化碳中毒，同時提醒學生冬天雖然寒冷，但使用瓦斯仍要注意屋內通風，以免發生危險。</w:t>
            </w:r>
          </w:p>
          <w:p w14:paraId="36EC6B9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由酒和酒精引入醇的結構與用途，並可利用冬令進補時常會發生的假酒事件說明工業酒精具有毒性，不可誤飲，嚴重者可導致失明。</w:t>
            </w:r>
          </w:p>
          <w:p w14:paraId="26E782C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由食醋引入醋酸，並介紹有機酸的特性。</w:t>
            </w:r>
          </w:p>
          <w:p w14:paraId="1A91C63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以示範實驗說明酯化反應與酯的一般性質；反應後生成的乙酸乙酯（CH</w:t>
            </w:r>
            <w:r w:rsidRPr="00CA5264">
              <w:rPr>
                <w:rFonts w:asciiTheme="minorEastAsia" w:hAnsiTheme="minorEastAsia" w:hint="eastAsia"/>
                <w:sz w:val="16"/>
                <w:szCs w:val="16"/>
                <w:vertAlign w:val="subscript"/>
              </w:rPr>
              <w:t>3</w:t>
            </w:r>
            <w:r w:rsidRPr="00CA5264">
              <w:rPr>
                <w:rFonts w:asciiTheme="minorEastAsia" w:hAnsiTheme="minorEastAsia" w:hint="eastAsia"/>
                <w:sz w:val="16"/>
                <w:szCs w:val="16"/>
              </w:rPr>
              <w:t>COOC</w:t>
            </w:r>
            <w:r w:rsidRPr="00CA5264">
              <w:rPr>
                <w:rFonts w:asciiTheme="minorEastAsia" w:hAnsiTheme="minorEastAsia" w:hint="eastAsia"/>
                <w:sz w:val="16"/>
                <w:szCs w:val="16"/>
                <w:vertAlign w:val="subscript"/>
              </w:rPr>
              <w:t>2</w:t>
            </w:r>
            <w:r w:rsidRPr="00CA5264">
              <w:rPr>
                <w:rFonts w:asciiTheme="minorEastAsia" w:hAnsiTheme="minorEastAsia" w:hint="eastAsia"/>
                <w:sz w:val="16"/>
                <w:szCs w:val="16"/>
              </w:rPr>
              <w:t>H</w:t>
            </w:r>
            <w:r w:rsidRPr="00CA5264">
              <w:rPr>
                <w:rFonts w:asciiTheme="minorEastAsia" w:hAnsiTheme="minorEastAsia" w:hint="eastAsia"/>
                <w:sz w:val="16"/>
                <w:szCs w:val="16"/>
                <w:vertAlign w:val="subscript"/>
              </w:rPr>
              <w:t>5</w:t>
            </w:r>
            <w:r w:rsidRPr="00CA5264">
              <w:rPr>
                <w:rFonts w:asciiTheme="minorEastAsia" w:hAnsiTheme="minorEastAsia" w:hint="eastAsia"/>
                <w:sz w:val="16"/>
                <w:szCs w:val="16"/>
              </w:rPr>
              <w:t>）為無色、具水果香味的易燃液體，可使用於有機合成、香料、塗料與食品等。</w:t>
            </w:r>
          </w:p>
          <w:p w14:paraId="656F153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回顧「自然暖身操」提問，並利用觀念速記，複習各種有機化合物種類的結構與特性。</w:t>
            </w:r>
          </w:p>
          <w:p w14:paraId="718D868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以「自然暖身操」為例引入，引導學生注意黃色物質的特性。回顧所學過的鹼的性質，說明早期社會也會利用碳酸鈉作為清潔劑。提問黃色物質與碳酸鈉的異同。</w:t>
            </w:r>
          </w:p>
          <w:p w14:paraId="5D6F58B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進行實驗前先說明實驗流程與實驗安全須知，尤其加熱過程要小心使用熱源。</w:t>
            </w:r>
          </w:p>
          <w:p w14:paraId="13AC273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實驗器材中的酒精是作為界面活性劑，以利油脂與其他反應物均勻混合。由於這部分超出目前範圍，可以不予說明。如果學生提問，可說明酒精能幫助油脂與氫氧化鈉混合即可。</w:t>
            </w:r>
          </w:p>
          <w:p w14:paraId="4E688F8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加入飽和食鹽水鹽析後，如果時間許可，可用濾紙過濾法濾出肥皂，然後用水洗滌肥皂，以減少附著在肥皂的鹼，使肥皂趨近於中性，然後將一些肥皂加入裝有油與水的試管中，觀察肥皂的去汙能力。</w:t>
            </w:r>
          </w:p>
          <w:p w14:paraId="1C56997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說明油脂在鹼性溶液中會產生反應，形成脂肪酸鈉（俗稱肥皂）與丙三醇，稱為皂化反應。</w:t>
            </w:r>
          </w:p>
          <w:p w14:paraId="4149396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說明清潔劑包含肥皂和合成清潔劑。肥皂是由動、植物的油脂與強鹼性物質，例如氫氧化鈉等，反應生成的；合成清潔劑，是由石油提煉人工合成的有機化合物與酸或鹼反應而製成，例如洗碗精、洗髮精和洗衣精等。</w:t>
            </w:r>
          </w:p>
          <w:p w14:paraId="312BE47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回顧「自然暖身操」提問，說明黃色物質的成分，並說明肥皂的應用。</w:t>
            </w:r>
          </w:p>
        </w:tc>
        <w:tc>
          <w:tcPr>
            <w:tcW w:w="567" w:type="dxa"/>
          </w:tcPr>
          <w:p w14:paraId="7BE92822" w14:textId="2D4323FF"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3AB59E4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實驗所需器材及藥品。</w:t>
            </w:r>
          </w:p>
          <w:p w14:paraId="6486FD3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常見的有機化合物圖卡組。</w:t>
            </w:r>
          </w:p>
          <w:p w14:paraId="29ACE98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香精油。</w:t>
            </w:r>
          </w:p>
          <w:p w14:paraId="6987522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示範實驗所需器材與藥品：乙酸、乙醇、酒精燈、燒杯、試管。</w:t>
            </w:r>
          </w:p>
          <w:p w14:paraId="076897C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常見的塑膠製品。</w:t>
            </w:r>
          </w:p>
          <w:p w14:paraId="5292E0A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不同材質纖維的衣物。</w:t>
            </w:r>
          </w:p>
        </w:tc>
        <w:tc>
          <w:tcPr>
            <w:tcW w:w="709" w:type="dxa"/>
          </w:tcPr>
          <w:p w14:paraId="67C0D46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6BA0A78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0D474CB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0356F9B3"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【安全教育】</w:t>
            </w:r>
          </w:p>
          <w:p w14:paraId="3AB60D1D"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安J1:理解安全教育的意義。</w:t>
            </w:r>
          </w:p>
          <w:p w14:paraId="7521D72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安J2:判斷常見的事故傷害。</w:t>
            </w:r>
          </w:p>
          <w:p w14:paraId="2E477677"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安J3:了解日常生活容易發生事故的原因。</w:t>
            </w:r>
          </w:p>
          <w:p w14:paraId="06988CC6"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安J4:探討日常生活發生事故的影響因素。</w:t>
            </w:r>
          </w:p>
          <w:p w14:paraId="255D3DBB"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【能源教育】</w:t>
            </w:r>
          </w:p>
          <w:p w14:paraId="0515F273"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能J3:了解各式能源應用及創能、儲能與節能的原理。</w:t>
            </w:r>
          </w:p>
          <w:p w14:paraId="3602CC2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能J4:了解各種能量形式的轉換。</w:t>
            </w:r>
          </w:p>
          <w:p w14:paraId="245E5AEB"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【環境教育】</w:t>
            </w:r>
          </w:p>
          <w:p w14:paraId="52D2BB0B"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sz w:val="16"/>
                <w:szCs w:val="16"/>
              </w:rPr>
              <w:t>環J14:了解能量流動及物質循環與生態系統運作的關係。</w:t>
            </w:r>
          </w:p>
          <w:p w14:paraId="795E6E6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國J3:了解我國與全球議題之關聯性。</w:t>
            </w:r>
          </w:p>
          <w:p w14:paraId="36BD9A3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【國際教育】</w:t>
            </w:r>
          </w:p>
          <w:p w14:paraId="22D1158E"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hint="eastAsia"/>
                <w:sz w:val="16"/>
                <w:szCs w:val="16"/>
              </w:rPr>
              <w:t>國J4:尊重與欣賞世界不同文化的價值。</w:t>
            </w:r>
          </w:p>
        </w:tc>
        <w:tc>
          <w:tcPr>
            <w:tcW w:w="850" w:type="dxa"/>
            <w:shd w:val="clear" w:color="auto" w:fill="auto"/>
          </w:tcPr>
          <w:p w14:paraId="4A34B490"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數學</w:t>
            </w:r>
          </w:p>
          <w:p w14:paraId="62FFD93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社會</w:t>
            </w:r>
          </w:p>
          <w:p w14:paraId="0C3C27B0"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hint="eastAsia"/>
                <w:sz w:val="16"/>
                <w:szCs w:val="16"/>
              </w:rPr>
              <w:t>科技</w:t>
            </w:r>
          </w:p>
        </w:tc>
      </w:tr>
      <w:tr w:rsidR="00766369" w:rsidRPr="0052708D" w14:paraId="634BBF1F" w14:textId="77777777" w:rsidTr="00ED18E0">
        <w:tc>
          <w:tcPr>
            <w:tcW w:w="539" w:type="dxa"/>
          </w:tcPr>
          <w:p w14:paraId="6185416C"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十二</w:t>
            </w:r>
          </w:p>
        </w:tc>
        <w:tc>
          <w:tcPr>
            <w:tcW w:w="709" w:type="dxa"/>
          </w:tcPr>
          <w:p w14:paraId="502BA65F"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5/3-5/7</w:t>
            </w:r>
          </w:p>
        </w:tc>
        <w:tc>
          <w:tcPr>
            <w:tcW w:w="709" w:type="dxa"/>
          </w:tcPr>
          <w:p w14:paraId="359A780F"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第5章有機化合物</w:t>
            </w:r>
          </w:p>
        </w:tc>
        <w:tc>
          <w:tcPr>
            <w:tcW w:w="709" w:type="dxa"/>
          </w:tcPr>
          <w:p w14:paraId="01FCA05C"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跨科主題─生活中的有機化合物</w:t>
            </w:r>
          </w:p>
        </w:tc>
        <w:tc>
          <w:tcPr>
            <w:tcW w:w="708" w:type="dxa"/>
          </w:tcPr>
          <w:p w14:paraId="53A092C8"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522BE6B0"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793DCB38"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52AA290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64F45A1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0D3103D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2C6C2C2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4CE611EE"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314AC1C9"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1BF90C32"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3C559B4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3B32C6B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5FE1EBE"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20EE24B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6B030ABE"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6EC016CD"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5A37B95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26CF57F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-2:透過與同儕的討論，分享科學發現的樂趣。</w:t>
            </w:r>
          </w:p>
          <w:p w14:paraId="7B6D77A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ah-</w:t>
            </w:r>
            <w:r w:rsidRPr="00CA5264">
              <w:rPr>
                <w:rFonts w:asciiTheme="minorEastAsia" w:hAnsiTheme="minorEastAsia" w:hint="eastAsia"/>
                <w:sz w:val="16"/>
                <w:szCs w:val="16"/>
              </w:rPr>
              <w:t>Ⅳ</w:t>
            </w:r>
            <w:r w:rsidRPr="00CA5264">
              <w:rPr>
                <w:rFonts w:asciiTheme="minorEastAsia" w:hAnsiTheme="minorEastAsia"/>
                <w:sz w:val="16"/>
                <w:szCs w:val="16"/>
              </w:rPr>
              <w:t>-1:對於有關科學發現的報導</w:t>
            </w:r>
            <w:r w:rsidRPr="00CA5264">
              <w:rPr>
                <w:rFonts w:asciiTheme="minorEastAsia" w:hAnsiTheme="minorEastAsia" w:hint="eastAsia"/>
                <w:sz w:val="16"/>
                <w:szCs w:val="16"/>
              </w:rPr>
              <w:t>，</w:t>
            </w:r>
            <w:r w:rsidRPr="00CA5264">
              <w:rPr>
                <w:rFonts w:asciiTheme="minorEastAsia" w:hAnsiTheme="minorEastAsia"/>
                <w:sz w:val="16"/>
                <w:szCs w:val="16"/>
              </w:rPr>
              <w:t>甚至權威的解釋（</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報章雜誌的報導或書本上的解釋）</w:t>
            </w:r>
            <w:r w:rsidRPr="00CA5264">
              <w:rPr>
                <w:rFonts w:asciiTheme="minorEastAsia" w:hAnsiTheme="minorEastAsia" w:hint="eastAsia"/>
                <w:sz w:val="16"/>
                <w:szCs w:val="16"/>
              </w:rPr>
              <w:t>，</w:t>
            </w:r>
            <w:r w:rsidRPr="00CA5264">
              <w:rPr>
                <w:rFonts w:asciiTheme="minorEastAsia" w:hAnsiTheme="minorEastAsia"/>
                <w:sz w:val="16"/>
                <w:szCs w:val="16"/>
              </w:rPr>
              <w:t>能抱持懷疑的態度，評估其推論的證據是否充分且可信賴。</w:t>
            </w:r>
          </w:p>
          <w:p w14:paraId="3193A62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an-</w:t>
            </w:r>
            <w:r w:rsidRPr="00CA5264">
              <w:rPr>
                <w:rFonts w:asciiTheme="minorEastAsia" w:hAnsiTheme="minorEastAsia" w:hint="eastAsia"/>
                <w:sz w:val="16"/>
                <w:szCs w:val="16"/>
              </w:rPr>
              <w:t>Ⅳ</w:t>
            </w:r>
            <w:r w:rsidRPr="00CA5264">
              <w:rPr>
                <w:rFonts w:asciiTheme="minorEastAsia" w:hAnsiTheme="minorEastAsia"/>
                <w:sz w:val="16"/>
                <w:szCs w:val="16"/>
              </w:rPr>
              <w:t>-2:分辨科學知識的確定性和持久性</w:t>
            </w:r>
            <w:r w:rsidRPr="00CA5264">
              <w:rPr>
                <w:rFonts w:asciiTheme="minorEastAsia" w:hAnsiTheme="minorEastAsia" w:hint="eastAsia"/>
                <w:sz w:val="16"/>
                <w:szCs w:val="16"/>
              </w:rPr>
              <w:t>，</w:t>
            </w:r>
            <w:r w:rsidRPr="00CA5264">
              <w:rPr>
                <w:rFonts w:asciiTheme="minorEastAsia" w:hAnsiTheme="minorEastAsia"/>
                <w:sz w:val="16"/>
                <w:szCs w:val="16"/>
              </w:rPr>
              <w:t>會因科學研究的時空背景不同而有所變化。</w:t>
            </w:r>
          </w:p>
          <w:p w14:paraId="085AA68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-1:能從學習活動、日常經驗及科技運用、自然環境、書刊及網路媒體中，進行各種有計畫的觀察，進而能察覺問題。</w:t>
            </w:r>
          </w:p>
          <w:p w14:paraId="18B23F0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tc>
        <w:tc>
          <w:tcPr>
            <w:tcW w:w="1101" w:type="dxa"/>
          </w:tcPr>
          <w:p w14:paraId="0929218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Jf-</w:t>
            </w:r>
            <w:r w:rsidRPr="00CA5264">
              <w:rPr>
                <w:rFonts w:asciiTheme="minorEastAsia" w:hAnsiTheme="minorEastAsia" w:hint="eastAsia"/>
                <w:sz w:val="16"/>
                <w:szCs w:val="16"/>
              </w:rPr>
              <w:t>Ⅳ</w:t>
            </w:r>
            <w:r w:rsidRPr="00CA5264">
              <w:rPr>
                <w:rFonts w:asciiTheme="minorEastAsia" w:hAnsiTheme="minorEastAsia"/>
                <w:sz w:val="16"/>
                <w:szCs w:val="16"/>
              </w:rPr>
              <w:t>-4:常見的塑膠。</w:t>
            </w:r>
          </w:p>
          <w:p w14:paraId="09F6EE3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Mc-Ⅳ-3</w:t>
            </w:r>
            <w:r w:rsidRPr="00CA5264">
              <w:rPr>
                <w:rFonts w:asciiTheme="minorEastAsia" w:hAnsiTheme="minorEastAsia"/>
                <w:sz w:val="16"/>
                <w:szCs w:val="16"/>
              </w:rPr>
              <w:t>:</w:t>
            </w:r>
            <w:r w:rsidRPr="00CA5264">
              <w:rPr>
                <w:rFonts w:asciiTheme="minorEastAsia" w:hAnsiTheme="minorEastAsia" w:hint="eastAsia"/>
                <w:sz w:val="16"/>
                <w:szCs w:val="16"/>
              </w:rPr>
              <w:t>生活中對各種材料進行加工與運用。</w:t>
            </w:r>
          </w:p>
          <w:p w14:paraId="611C743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Mc-</w:t>
            </w:r>
            <w:r w:rsidRPr="00CA5264">
              <w:rPr>
                <w:rFonts w:asciiTheme="minorEastAsia" w:hAnsiTheme="minorEastAsia" w:hint="eastAsia"/>
                <w:sz w:val="16"/>
                <w:szCs w:val="16"/>
              </w:rPr>
              <w:t>Ⅳ</w:t>
            </w:r>
            <w:r w:rsidRPr="00CA5264">
              <w:rPr>
                <w:rFonts w:asciiTheme="minorEastAsia" w:hAnsiTheme="minorEastAsia"/>
                <w:sz w:val="16"/>
                <w:szCs w:val="16"/>
              </w:rPr>
              <w:t>-4:常見人造材料的特性、簡單的製造過程及在生活上的應用。</w:t>
            </w:r>
          </w:p>
          <w:p w14:paraId="1BA428F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F</w:t>
            </w:r>
            <w:r w:rsidRPr="00CA5264">
              <w:rPr>
                <w:rFonts w:asciiTheme="minorEastAsia" w:hAnsiTheme="minorEastAsia"/>
                <w:sz w:val="16"/>
                <w:szCs w:val="16"/>
              </w:rPr>
              <w:t>c-</w:t>
            </w:r>
            <w:r w:rsidRPr="00CA5264">
              <w:rPr>
                <w:rFonts w:asciiTheme="minorEastAsia" w:hAnsiTheme="minorEastAsia" w:hint="eastAsia"/>
                <w:sz w:val="16"/>
                <w:szCs w:val="16"/>
              </w:rPr>
              <w:t>Ⅳ</w:t>
            </w:r>
            <w:r w:rsidRPr="00CA5264">
              <w:rPr>
                <w:rFonts w:asciiTheme="minorEastAsia" w:hAnsiTheme="minorEastAsia"/>
                <w:sz w:val="16"/>
                <w:szCs w:val="16"/>
              </w:rPr>
              <w:t>-2:</w:t>
            </w:r>
            <w:r w:rsidRPr="00CA5264">
              <w:rPr>
                <w:rFonts w:asciiTheme="minorEastAsia" w:hAnsiTheme="minorEastAsia" w:hint="eastAsia"/>
                <w:sz w:val="16"/>
                <w:szCs w:val="16"/>
              </w:rPr>
              <w:t>組成生物體的基本層次是細胞，而細胞則由醣類、蛋白質、脂質等分子所組成，這些分子則由更小的粒子所組成。</w:t>
            </w:r>
          </w:p>
          <w:p w14:paraId="03C47FA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Na-Ⅳ-3</w:t>
            </w:r>
            <w:r w:rsidRPr="00CA5264">
              <w:rPr>
                <w:rFonts w:asciiTheme="minorEastAsia" w:hAnsiTheme="minorEastAsia"/>
                <w:sz w:val="16"/>
                <w:szCs w:val="16"/>
              </w:rPr>
              <w:t>:</w:t>
            </w:r>
            <w:r w:rsidRPr="00CA5264">
              <w:rPr>
                <w:rFonts w:asciiTheme="minorEastAsia" w:hAnsiTheme="minorEastAsia" w:hint="eastAsia"/>
                <w:sz w:val="16"/>
                <w:szCs w:val="16"/>
              </w:rPr>
              <w:t>環境品質繫於資源的永續利用與維持生態平衡。</w:t>
            </w:r>
          </w:p>
          <w:p w14:paraId="2461B6B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Na-Ⅳ-4</w:t>
            </w:r>
            <w:r w:rsidRPr="00CA5264">
              <w:rPr>
                <w:rFonts w:asciiTheme="minorEastAsia" w:hAnsiTheme="minorEastAsia"/>
                <w:sz w:val="16"/>
                <w:szCs w:val="16"/>
              </w:rPr>
              <w:t>:</w:t>
            </w:r>
            <w:r w:rsidRPr="00CA5264">
              <w:rPr>
                <w:rFonts w:asciiTheme="minorEastAsia" w:hAnsiTheme="minorEastAsia" w:hint="eastAsia"/>
                <w:sz w:val="16"/>
                <w:szCs w:val="16"/>
              </w:rPr>
              <w:t>資源使用的5R：減量、拒絕、重複使用、回收及再生。</w:t>
            </w:r>
          </w:p>
          <w:p w14:paraId="53AB087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Na-Ⅳ-5</w:t>
            </w:r>
            <w:r w:rsidRPr="00CA5264">
              <w:rPr>
                <w:rFonts w:asciiTheme="minorEastAsia" w:hAnsiTheme="minorEastAsia"/>
                <w:sz w:val="16"/>
                <w:szCs w:val="16"/>
              </w:rPr>
              <w:t>:</w:t>
            </w:r>
            <w:r w:rsidRPr="00CA5264">
              <w:rPr>
                <w:rFonts w:asciiTheme="minorEastAsia" w:hAnsiTheme="minorEastAsia" w:hint="eastAsia"/>
                <w:sz w:val="16"/>
                <w:szCs w:val="16"/>
              </w:rPr>
              <w:t>各種廢棄物對環境的影響，環境的承載能力與處理方法。</w:t>
            </w:r>
          </w:p>
          <w:p w14:paraId="63704E0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Na-Ⅳ-6</w:t>
            </w:r>
            <w:r w:rsidRPr="00CA5264">
              <w:rPr>
                <w:rFonts w:asciiTheme="minorEastAsia" w:hAnsiTheme="minorEastAsia"/>
                <w:sz w:val="16"/>
                <w:szCs w:val="16"/>
              </w:rPr>
              <w:t>:</w:t>
            </w:r>
            <w:r w:rsidRPr="00CA5264">
              <w:rPr>
                <w:rFonts w:asciiTheme="minorEastAsia" w:hAnsiTheme="minorEastAsia" w:hint="eastAsia"/>
                <w:sz w:val="16"/>
                <w:szCs w:val="16"/>
              </w:rPr>
              <w:t>人類社會的發展必須建立在保護地球自然環境的基礎上。</w:t>
            </w:r>
          </w:p>
          <w:p w14:paraId="666DBD4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Na-Ⅳ-7</w:t>
            </w:r>
            <w:r w:rsidRPr="00CA5264">
              <w:rPr>
                <w:rFonts w:asciiTheme="minorEastAsia" w:hAnsiTheme="minorEastAsia"/>
                <w:sz w:val="16"/>
                <w:szCs w:val="16"/>
              </w:rPr>
              <w:t>:</w:t>
            </w:r>
            <w:r w:rsidRPr="00CA5264">
              <w:rPr>
                <w:rFonts w:asciiTheme="minorEastAsia" w:hAnsiTheme="minorEastAsia" w:hint="eastAsia"/>
                <w:sz w:val="16"/>
                <w:szCs w:val="16"/>
              </w:rPr>
              <w:t>為使地球永續發展，可以從減量、回收、再利用、綠能等做起。</w:t>
            </w:r>
          </w:p>
        </w:tc>
        <w:tc>
          <w:tcPr>
            <w:tcW w:w="1171" w:type="dxa"/>
          </w:tcPr>
          <w:p w14:paraId="1B04289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說明聚合物是小分子單體經由聚合反應合成。</w:t>
            </w:r>
          </w:p>
          <w:p w14:paraId="0996C94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說明聚合物分類方式與其特性。例如：天然聚合物與合成聚合物、熱塑性及熱固性、鏈狀結構與網狀結構。</w:t>
            </w:r>
          </w:p>
          <w:p w14:paraId="78B3A19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介紹食品中的聚合物：澱粉、纖維素與蛋白質。</w:t>
            </w:r>
          </w:p>
          <w:p w14:paraId="1E4C36E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介紹常見衣料纖維，例如：植物纖維、動物纖維、人造纖維及合成纖維。</w:t>
            </w:r>
          </w:p>
          <w:p w14:paraId="6CE2927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了解人類每天的生活與塑膠製品密不可分，但大量的塑膠廢棄物已對環境造成威脅。</w:t>
            </w:r>
          </w:p>
          <w:p w14:paraId="4B1A67B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了解塑膠製品不易在自然情況下分解，並進一步認識塑膠製品對環境及生物的危害。</w:t>
            </w:r>
          </w:p>
          <w:p w14:paraId="4F0A2BE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認識5R的內涵：減量、拒絕、重複使用、回收及再生。</w:t>
            </w:r>
          </w:p>
          <w:p w14:paraId="544314E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了解僅做回收不能解決塑膠廢棄物問題，還要確實做到後端的再生。</w:t>
            </w:r>
          </w:p>
          <w:p w14:paraId="2C85056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學習減塑觀念，並透過相關的活動與論證式教學，培育環保與永續發展的意識。</w:t>
            </w:r>
          </w:p>
        </w:tc>
        <w:tc>
          <w:tcPr>
            <w:tcW w:w="2973" w:type="dxa"/>
            <w:shd w:val="clear" w:color="auto" w:fill="auto"/>
          </w:tcPr>
          <w:p w14:paraId="062C4DE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以「自然暖身操」為例引入，說明生活中常見的塑膠材料中，有些塑膠材料遇熱會軟化變形，有些卻不會，請學生提出可能的解釋。</w:t>
            </w:r>
          </w:p>
          <w:p w14:paraId="6CB6685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說明聚合物的意義。</w:t>
            </w:r>
          </w:p>
          <w:p w14:paraId="2CCCE8D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說明天然聚合物的種類，並介紹生活中常見的天然聚合物。</w:t>
            </w:r>
          </w:p>
          <w:p w14:paraId="4C0DF61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說明合成聚合物，並舉例說明合成聚合物與天然聚合物的區別。</w:t>
            </w:r>
          </w:p>
          <w:p w14:paraId="4EA6DD1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可將塑膠製品排列在講桌，告訴學生這些物質是由哪種材料製作而成，說明材料的組成及特性，並請學生將這些材料依其原子排列的方式分類。</w:t>
            </w:r>
          </w:p>
          <w:p w14:paraId="727BDA0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說明熱塑性聚合物與熱固性聚合物結構與性質上的區別。</w:t>
            </w:r>
          </w:p>
          <w:p w14:paraId="1467F3E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討論日常生活中還有哪些物質是聚合物。</w:t>
            </w:r>
          </w:p>
          <w:p w14:paraId="7304584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說明葡萄糖、澱粉及纖維素等都屬於醣類，也稱為碳水化合物。</w:t>
            </w:r>
          </w:p>
          <w:p w14:paraId="08BA9B1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講述各種醣類的來源。說明澱粉的來源與人體中的消化過程，並講述纖維素的來源，可結合國一上「養分」章節，提及草食性動物和人類對纖維素的消化情形。</w:t>
            </w:r>
          </w:p>
          <w:p w14:paraId="79DBB2E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講述蛋白質的消化過程，並說明胺基酸在細胞中能組合成各種蛋白質。以課本圖為例，說明蛋白質遇熱的變化。</w:t>
            </w:r>
          </w:p>
          <w:p w14:paraId="7C6BAFB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課前先準備不同的衣物，在課堂上將準備好的衣料纖維排列在講桌，告訴學生這些物質是由哪些原料製作出來，說明原料的組成，並請學生將這些原料分類。</w:t>
            </w:r>
          </w:p>
          <w:p w14:paraId="4A420C3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說明這些衣料纖維的優、缺點及簡要的製造過程，並說明許多衣料為何要混紡，可利用教學百寶箱說明衣服標籤和洗標的標示方式。</w:t>
            </w:r>
          </w:p>
          <w:p w14:paraId="62DBDED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說明人類每天的生活與塑膠製品密不可分，但大量的塑膠廢棄物已對環境造成威脅。</w:t>
            </w:r>
          </w:p>
          <w:p w14:paraId="27FFD84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說明塑膠製品不易在自然情況下分解，並進一步認識塑膠製品對環境及生物的危害。</w:t>
            </w:r>
          </w:p>
          <w:p w14:paraId="1D1932A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講述5R的內涵是減量、拒絕、重複使用、回收及再生，並說明在日常生活中具體實踐5R的方法。</w:t>
            </w:r>
          </w:p>
          <w:p w14:paraId="6AB7F04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進行探索活動，說明僅做回收尚不能完全解決塑膠廢棄物問題，還要確實做到後端的再生。</w:t>
            </w:r>
          </w:p>
          <w:p w14:paraId="2D88B61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17. 透過探索活動與論證式教學，培育學生學習減塑觀念，以及環境保護與永續發展的意識，並認識臺灣製產品中，應用再生概念減少塑膠廢棄物的實例。</w:t>
            </w:r>
          </w:p>
          <w:p w14:paraId="70BD9CD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18. 連結「自然暖身操」提問，請學生區分有機聚合物的種類，並請學生思考生活中會使用到哪些有機聚合物？若不再使用時，應如何處理，才符合環保原則？</w:t>
            </w:r>
          </w:p>
        </w:tc>
        <w:tc>
          <w:tcPr>
            <w:tcW w:w="567" w:type="dxa"/>
          </w:tcPr>
          <w:p w14:paraId="3535D452" w14:textId="47AACFBA"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6D1F11E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實驗所需器材與藥品。</w:t>
            </w:r>
          </w:p>
          <w:p w14:paraId="5BFE82A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常見的塑膠製品。</w:t>
            </w:r>
          </w:p>
          <w:p w14:paraId="4DE792FE"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不同材質纖維的衣物。</w:t>
            </w:r>
          </w:p>
        </w:tc>
        <w:tc>
          <w:tcPr>
            <w:tcW w:w="709" w:type="dxa"/>
          </w:tcPr>
          <w:p w14:paraId="47FEEEF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1A21772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紙筆評量</w:t>
            </w:r>
          </w:p>
        </w:tc>
        <w:tc>
          <w:tcPr>
            <w:tcW w:w="709" w:type="dxa"/>
          </w:tcPr>
          <w:p w14:paraId="10E4163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【安全教育】</w:t>
            </w:r>
          </w:p>
          <w:p w14:paraId="19340A2E"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安J1:理解安全教育的意義。</w:t>
            </w:r>
          </w:p>
          <w:p w14:paraId="7C7738E9"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安J2:判斷常見的事故傷害。</w:t>
            </w:r>
          </w:p>
          <w:p w14:paraId="04CF3750"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安J3:了解日常生活容易發生事故的原因。</w:t>
            </w:r>
          </w:p>
          <w:p w14:paraId="1C89A47F"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安J4:探討日常生活發生事故的影響因素。</w:t>
            </w:r>
          </w:p>
          <w:p w14:paraId="67786AF6"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【能源教育】</w:t>
            </w:r>
          </w:p>
          <w:p w14:paraId="11AC3C8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能J3:了解各式能源應用及創能、儲能與節能的原理。</w:t>
            </w:r>
          </w:p>
          <w:p w14:paraId="1799F23D"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能J4:了解各種能量形式的轉換。</w:t>
            </w:r>
          </w:p>
          <w:p w14:paraId="07EECBAE"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【環境教育】</w:t>
            </w:r>
          </w:p>
          <w:p w14:paraId="6F088A8E"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sz w:val="16"/>
                <w:szCs w:val="16"/>
              </w:rPr>
              <w:t>環J14</w:t>
            </w:r>
            <w:r w:rsidRPr="00357257">
              <w:rPr>
                <w:rFonts w:ascii="新細明體" w:hAnsi="新細明體" w:hint="eastAsia"/>
                <w:sz w:val="16"/>
                <w:szCs w:val="16"/>
              </w:rPr>
              <w:t>:</w:t>
            </w:r>
            <w:r w:rsidRPr="00357257">
              <w:rPr>
                <w:rFonts w:ascii="新細明體" w:hAnsi="新細明體"/>
                <w:sz w:val="16"/>
                <w:szCs w:val="16"/>
              </w:rPr>
              <w:t>了解能量流動及物質循環與生態系統運作的關係。</w:t>
            </w:r>
          </w:p>
          <w:p w14:paraId="35B85A34"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【國際教育】</w:t>
            </w:r>
          </w:p>
          <w:p w14:paraId="7C695707"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國J3:了解我國與全球議題之關聯性。</w:t>
            </w:r>
          </w:p>
          <w:p w14:paraId="703C9516"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國J4:尊重與欣賞世界不同文化的價值。</w:t>
            </w:r>
          </w:p>
          <w:p w14:paraId="5F305C69"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【海洋教育】</w:t>
            </w:r>
          </w:p>
          <w:p w14:paraId="5D5605E1"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海J13:探討海洋對陸上環境與生活的影響。</w:t>
            </w:r>
          </w:p>
          <w:p w14:paraId="482C6B7E"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【戶外教育】</w:t>
            </w:r>
          </w:p>
          <w:p w14:paraId="6B24AA0C"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sz w:val="16"/>
                <w:szCs w:val="16"/>
              </w:rPr>
              <w:t>戶J4</w:t>
            </w:r>
            <w:r w:rsidRPr="00357257">
              <w:rPr>
                <w:rFonts w:ascii="新細明體" w:hAnsi="新細明體" w:hint="eastAsia"/>
                <w:sz w:val="16"/>
                <w:szCs w:val="16"/>
              </w:rPr>
              <w:t>:</w:t>
            </w:r>
            <w:r w:rsidRPr="00357257">
              <w:rPr>
                <w:rFonts w:ascii="新細明體" w:hAnsi="新細明體"/>
                <w:sz w:val="16"/>
                <w:szCs w:val="16"/>
              </w:rPr>
              <w:t>理解永續發展的意義與責任，並在參與活動的過程中落實原則。</w:t>
            </w:r>
          </w:p>
          <w:p w14:paraId="789C7010"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【品德教育】</w:t>
            </w:r>
          </w:p>
          <w:p w14:paraId="2484109F"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sz w:val="16"/>
                <w:szCs w:val="16"/>
              </w:rPr>
              <w:t>品J3</w:t>
            </w:r>
            <w:r w:rsidRPr="00357257">
              <w:rPr>
                <w:rFonts w:ascii="新細明體" w:hAnsi="新細明體" w:hint="eastAsia"/>
                <w:sz w:val="16"/>
                <w:szCs w:val="16"/>
              </w:rPr>
              <w:t>:</w:t>
            </w:r>
            <w:r w:rsidRPr="00357257">
              <w:rPr>
                <w:rFonts w:ascii="新細明體" w:hAnsi="新細明體"/>
                <w:sz w:val="16"/>
                <w:szCs w:val="16"/>
              </w:rPr>
              <w:t>關懷生活環境與自然生態永續發展。</w:t>
            </w:r>
          </w:p>
          <w:p w14:paraId="797E728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【法治教育】</w:t>
            </w:r>
          </w:p>
          <w:p w14:paraId="02FBE1C3"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sz w:val="16"/>
                <w:szCs w:val="16"/>
              </w:rPr>
              <w:t>法J4</w:t>
            </w:r>
            <w:r w:rsidRPr="00357257">
              <w:rPr>
                <w:rFonts w:ascii="新細明體" w:hAnsi="新細明體" w:hint="eastAsia"/>
                <w:sz w:val="16"/>
                <w:szCs w:val="16"/>
              </w:rPr>
              <w:t>:</w:t>
            </w:r>
            <w:r w:rsidRPr="00357257">
              <w:rPr>
                <w:rFonts w:ascii="新細明體" w:hAnsi="新細明體"/>
                <w:sz w:val="16"/>
                <w:szCs w:val="16"/>
              </w:rPr>
              <w:t>理解規範國家強制力之重要性。</w:t>
            </w:r>
          </w:p>
        </w:tc>
        <w:tc>
          <w:tcPr>
            <w:tcW w:w="850" w:type="dxa"/>
            <w:shd w:val="clear" w:color="auto" w:fill="auto"/>
          </w:tcPr>
          <w:p w14:paraId="1410A51F"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數學</w:t>
            </w:r>
          </w:p>
          <w:p w14:paraId="5D9B6157"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社會</w:t>
            </w:r>
          </w:p>
          <w:p w14:paraId="2CF23799"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hint="eastAsia"/>
                <w:sz w:val="16"/>
                <w:szCs w:val="16"/>
              </w:rPr>
              <w:t>科技</w:t>
            </w:r>
          </w:p>
        </w:tc>
      </w:tr>
      <w:tr w:rsidR="00766369" w:rsidRPr="0052708D" w14:paraId="41C766AE" w14:textId="77777777" w:rsidTr="00ED18E0">
        <w:tc>
          <w:tcPr>
            <w:tcW w:w="539" w:type="dxa"/>
          </w:tcPr>
          <w:p w14:paraId="6BF0009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十三</w:t>
            </w:r>
          </w:p>
        </w:tc>
        <w:tc>
          <w:tcPr>
            <w:tcW w:w="709" w:type="dxa"/>
          </w:tcPr>
          <w:p w14:paraId="7153BC7B"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5/10-5/14</w:t>
            </w:r>
          </w:p>
        </w:tc>
        <w:tc>
          <w:tcPr>
            <w:tcW w:w="709" w:type="dxa"/>
          </w:tcPr>
          <w:p w14:paraId="34729EDD"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第6章力與壓力</w:t>
            </w:r>
          </w:p>
        </w:tc>
        <w:tc>
          <w:tcPr>
            <w:tcW w:w="709" w:type="dxa"/>
          </w:tcPr>
          <w:p w14:paraId="2C45589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6．1力與平衡</w:t>
            </w:r>
          </w:p>
          <w:p w14:paraId="7B640CDD"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【第二次評量週】</w:t>
            </w:r>
          </w:p>
        </w:tc>
        <w:tc>
          <w:tcPr>
            <w:tcW w:w="708" w:type="dxa"/>
          </w:tcPr>
          <w:p w14:paraId="484E781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0561E34D"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1759A56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652AAB7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30FFFE2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67C5A11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23C1CC6B"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5CCBEF4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16A7386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82CB24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5C0DB62"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62AD2D4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28AE94C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4C8E2833"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04A9162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65C49A8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4269399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p w14:paraId="59D3E63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an-</w:t>
            </w:r>
            <w:r w:rsidRPr="00CA5264">
              <w:rPr>
                <w:rFonts w:asciiTheme="minorEastAsia" w:hAnsiTheme="minorEastAsia" w:hint="eastAsia"/>
                <w:sz w:val="16"/>
                <w:szCs w:val="16"/>
              </w:rPr>
              <w:t>Ⅳ</w:t>
            </w:r>
            <w:r w:rsidRPr="00CA5264">
              <w:rPr>
                <w:rFonts w:asciiTheme="minorEastAsia" w:hAnsiTheme="minorEastAsia"/>
                <w:sz w:val="16"/>
                <w:szCs w:val="16"/>
              </w:rPr>
              <w:t>-1:察覺到科學的觀察、測量和方法是否具有正當性</w:t>
            </w:r>
            <w:r w:rsidRPr="00CA5264">
              <w:rPr>
                <w:rFonts w:asciiTheme="minorEastAsia" w:hAnsiTheme="minorEastAsia" w:hint="eastAsia"/>
                <w:sz w:val="16"/>
                <w:szCs w:val="16"/>
              </w:rPr>
              <w:t>，</w:t>
            </w:r>
            <w:r w:rsidRPr="00CA5264">
              <w:rPr>
                <w:rFonts w:asciiTheme="minorEastAsia" w:hAnsiTheme="minorEastAsia"/>
                <w:sz w:val="16"/>
                <w:szCs w:val="16"/>
              </w:rPr>
              <w:t>是受到社會共同建構的標準所規範。</w:t>
            </w:r>
          </w:p>
        </w:tc>
        <w:tc>
          <w:tcPr>
            <w:tcW w:w="1101" w:type="dxa"/>
          </w:tcPr>
          <w:p w14:paraId="3133D64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-1:力能引發物體的移動或轉動。</w:t>
            </w:r>
          </w:p>
          <w:p w14:paraId="2CB1074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-3:平衡的物體所受合力為零</w:t>
            </w:r>
            <w:r w:rsidRPr="00CA5264">
              <w:rPr>
                <w:rFonts w:asciiTheme="minorEastAsia" w:hAnsiTheme="minorEastAsia" w:hint="eastAsia"/>
                <w:sz w:val="16"/>
                <w:szCs w:val="16"/>
              </w:rPr>
              <w:t>且</w:t>
            </w:r>
            <w:r w:rsidRPr="00CA5264">
              <w:rPr>
                <w:rFonts w:asciiTheme="minorEastAsia" w:hAnsiTheme="minorEastAsia"/>
                <w:sz w:val="16"/>
                <w:szCs w:val="16"/>
              </w:rPr>
              <w:t>合力矩為零。</w:t>
            </w:r>
          </w:p>
        </w:tc>
        <w:tc>
          <w:tcPr>
            <w:tcW w:w="1171" w:type="dxa"/>
          </w:tcPr>
          <w:p w14:paraId="1E71680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知道力的種類包括超距力與接觸力。</w:t>
            </w:r>
          </w:p>
          <w:p w14:paraId="7FB03BE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知道萬有引力、靜電力和磁力是超距力；浮力、摩擦力和彈力等是接觸力。</w:t>
            </w:r>
          </w:p>
          <w:p w14:paraId="26F67CE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知道力的效應包括改變物體的形狀、體積大小或運動狀態。</w:t>
            </w:r>
          </w:p>
          <w:p w14:paraId="5921C90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了解利用物體形狀改變的程度，可以測量力的大小。</w:t>
            </w:r>
          </w:p>
          <w:p w14:paraId="002A3D6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知道彈簧的伸長量會與受力大小成正比。</w:t>
            </w:r>
          </w:p>
          <w:p w14:paraId="6F8372A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知道生活中常用公克重（gw）與公斤重（kgw）作為力的單位。</w:t>
            </w:r>
          </w:p>
          <w:p w14:paraId="20D2A51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知道力的作用與力的大小、方向和作用點有關，稱為力的三要素。</w:t>
            </w:r>
          </w:p>
          <w:p w14:paraId="4C1480E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藉由實驗了解力的平衡與合成。</w:t>
            </w:r>
          </w:p>
          <w:p w14:paraId="49A303E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能求出在一直線中各力的合力。</w:t>
            </w:r>
          </w:p>
        </w:tc>
        <w:tc>
          <w:tcPr>
            <w:tcW w:w="2973" w:type="dxa"/>
            <w:shd w:val="clear" w:color="auto" w:fill="auto"/>
          </w:tcPr>
          <w:p w14:paraId="0DDA704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以「自然暖身操」為例，詢問學生生活中有哪些力需要與物體接觸才能發生作用？哪些力則不需要呢？</w:t>
            </w:r>
          </w:p>
          <w:p w14:paraId="1012B4E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本節開始先說明超距力與接觸力的定義，並由生活經驗說明重力、靜電力和磁力都屬於超距力（非接觸力）。</w:t>
            </w:r>
          </w:p>
          <w:p w14:paraId="38B1E81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利用推、拉物體，說明「施力和受力物體須彼此接觸才能產生作用的力」為接觸力。</w:t>
            </w:r>
          </w:p>
          <w:p w14:paraId="1C2197B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由教師列舉出各種不同的力，提問學生哪些屬於超距力，哪些屬於接觸力。</w:t>
            </w:r>
          </w:p>
          <w:p w14:paraId="4FC62DC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說明力對物體造成的各種影響，稱為力的效應。</w:t>
            </w:r>
          </w:p>
          <w:p w14:paraId="00D642F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請學生用大小不同的力拉扯橡皮筋或推動桌上物品，說明力量越大，力的效應越明顯。</w:t>
            </w:r>
          </w:p>
          <w:p w14:paraId="36D4EA1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將彈簧掛上各種不同質量的砝碼，說明以彈簧測量力的原理及方法。</w:t>
            </w:r>
          </w:p>
          <w:p w14:paraId="2125F3D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利用砝碼重量與彈簧長度的關係圖，說明彈簧為何可以用來測量力的大小。</w:t>
            </w:r>
          </w:p>
          <w:p w14:paraId="4809335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透過測量隨身物品的重量，觀察學生是否能正確使用彈簧來測量物重。</w:t>
            </w:r>
          </w:p>
          <w:p w14:paraId="2404349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說明生活上常用公克重（gw）與公斤重（kgw）來當作力的單位，並請學生記住1公斤重＝1000公克重。</w:t>
            </w:r>
          </w:p>
          <w:p w14:paraId="5062CC2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說明何謂力的三要素，及力的表示方法。</w:t>
            </w:r>
          </w:p>
          <w:p w14:paraId="793F476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選擇讀數刻度較小的彈簧秤，可減少讀取刻度時所造成的誤差。</w:t>
            </w:r>
          </w:p>
          <w:p w14:paraId="0BA2A2E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進行步驟1，並說明如何找出兩力方向相反時的合力，及兩力平衡的條件。</w:t>
            </w:r>
          </w:p>
          <w:p w14:paraId="794FDD7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進行步驟2時，甲、乙、丙彈簧秤盡量在同一直線上施力，這樣可以減少實驗的誤差。</w:t>
            </w:r>
          </w:p>
          <w:p w14:paraId="07F019D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15. 進行「問題與討論」。</w:t>
            </w:r>
          </w:p>
          <w:p w14:paraId="211D020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16. 歸納實驗結果，說明力的平衡的意義，然後利用兩力方向相反時，求合力的方法，推論出兩力平衡的條件，提問學生兩力平衡的條件。</w:t>
            </w:r>
          </w:p>
        </w:tc>
        <w:tc>
          <w:tcPr>
            <w:tcW w:w="567" w:type="dxa"/>
          </w:tcPr>
          <w:p w14:paraId="70E3E96F" w14:textId="54C07027"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727F432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w:t>
            </w:r>
          </w:p>
          <w:p w14:paraId="17411F4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磁鐵。</w:t>
            </w:r>
          </w:p>
          <w:p w14:paraId="385A432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砝碼。</w:t>
            </w:r>
          </w:p>
          <w:p w14:paraId="79CF373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橡皮筋。</w:t>
            </w:r>
          </w:p>
          <w:p w14:paraId="1D86F39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彈簧秤。</w:t>
            </w:r>
          </w:p>
          <w:p w14:paraId="5D3C500F"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繩子。</w:t>
            </w:r>
          </w:p>
        </w:tc>
        <w:tc>
          <w:tcPr>
            <w:tcW w:w="709" w:type="dxa"/>
          </w:tcPr>
          <w:p w14:paraId="6DD8259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1827F3E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4FC4556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3A0D5FFB"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2E27FAEC"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4ED2084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6A954045"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7ACF9026"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07D9F007"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4ED9F783"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1AF9348F"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65620ED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7DE127F9"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37090059" w14:textId="77777777" w:rsidTr="00ED18E0">
        <w:tc>
          <w:tcPr>
            <w:tcW w:w="539" w:type="dxa"/>
          </w:tcPr>
          <w:p w14:paraId="19BAF85B"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十四</w:t>
            </w:r>
          </w:p>
        </w:tc>
        <w:tc>
          <w:tcPr>
            <w:tcW w:w="709" w:type="dxa"/>
          </w:tcPr>
          <w:p w14:paraId="34D6780D"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5/17-5/21</w:t>
            </w:r>
          </w:p>
        </w:tc>
        <w:tc>
          <w:tcPr>
            <w:tcW w:w="709" w:type="dxa"/>
          </w:tcPr>
          <w:p w14:paraId="22C85F05"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w:t>
            </w:r>
          </w:p>
          <w:p w14:paraId="7BF2038D"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力與壓力</w:t>
            </w:r>
          </w:p>
        </w:tc>
        <w:tc>
          <w:tcPr>
            <w:tcW w:w="709" w:type="dxa"/>
          </w:tcPr>
          <w:p w14:paraId="0E7F3608"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6．1力與平衡、</w:t>
            </w:r>
            <w:r w:rsidRPr="00CA5264">
              <w:rPr>
                <w:rFonts w:ascii="新細明體" w:eastAsia="新細明體" w:hAnsi="新細明體"/>
                <w:snapToGrid w:val="0"/>
                <w:kern w:val="0"/>
                <w:sz w:val="16"/>
                <w:szCs w:val="16"/>
              </w:rPr>
              <w:t>6．</w:t>
            </w:r>
            <w:r w:rsidRPr="00CA5264">
              <w:rPr>
                <w:rFonts w:ascii="新細明體" w:eastAsia="新細明體" w:hAnsi="新細明體" w:hint="eastAsia"/>
                <w:snapToGrid w:val="0"/>
                <w:kern w:val="0"/>
                <w:sz w:val="16"/>
                <w:szCs w:val="16"/>
              </w:rPr>
              <w:t>2摩擦力</w:t>
            </w:r>
          </w:p>
        </w:tc>
        <w:tc>
          <w:tcPr>
            <w:tcW w:w="708" w:type="dxa"/>
          </w:tcPr>
          <w:p w14:paraId="4148837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15E8F6D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2551E12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51369F1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3781B84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068758D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116893F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74012C5D"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6C0FF07B"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3A8992E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4AD550E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748D957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76ABF77B"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3E421043"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0776A772"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6E02705E"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6E9DA99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317F6E1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00AFC57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p w14:paraId="7237674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an-</w:t>
            </w:r>
            <w:r w:rsidRPr="00CA5264">
              <w:rPr>
                <w:rFonts w:asciiTheme="minorEastAsia" w:hAnsiTheme="minorEastAsia" w:hint="eastAsia"/>
                <w:sz w:val="16"/>
                <w:szCs w:val="16"/>
              </w:rPr>
              <w:t>Ⅳ</w:t>
            </w:r>
            <w:r w:rsidRPr="00CA5264">
              <w:rPr>
                <w:rFonts w:asciiTheme="minorEastAsia" w:hAnsiTheme="minorEastAsia"/>
                <w:sz w:val="16"/>
                <w:szCs w:val="16"/>
              </w:rPr>
              <w:t>-1:察覺到科學的觀察、測量和方法是否具有正當性</w:t>
            </w:r>
            <w:r w:rsidRPr="00CA5264">
              <w:rPr>
                <w:rFonts w:asciiTheme="minorEastAsia" w:hAnsiTheme="minorEastAsia" w:hint="eastAsia"/>
                <w:sz w:val="16"/>
                <w:szCs w:val="16"/>
              </w:rPr>
              <w:t>，</w:t>
            </w:r>
            <w:r w:rsidRPr="00CA5264">
              <w:rPr>
                <w:rFonts w:asciiTheme="minorEastAsia" w:hAnsiTheme="minorEastAsia"/>
                <w:sz w:val="16"/>
                <w:szCs w:val="16"/>
              </w:rPr>
              <w:t>是受到社會共同建構的標準所規範。</w:t>
            </w:r>
          </w:p>
          <w:p w14:paraId="5281209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3ECB857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-2:能辨別適合科學探究或適合以科學方式尋求解決的問題（或假說），並能依據觀察、蒐集資料、閱讀、思考、討論等，提出適宜探究之問題。</w:t>
            </w:r>
          </w:p>
          <w:p w14:paraId="20CAF1F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-1:能辨明多個自變項、應變項並計劃適當次數的測試、預測活動的可能結果。在教師或教科書的指導或說明下，能了解探究的計畫，並進而能根據問題特性、資源（</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設備、時間）等因素，規劃具有可信度（</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多次測量等）的探究活動。</w:t>
            </w:r>
          </w:p>
          <w:p w14:paraId="24B0F66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33EABD2B"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ah-</w:t>
            </w:r>
            <w:r w:rsidRPr="00CA5264">
              <w:rPr>
                <w:rFonts w:asciiTheme="minorEastAsia" w:hAnsiTheme="minorEastAsia" w:hint="eastAsia"/>
                <w:sz w:val="16"/>
                <w:szCs w:val="16"/>
              </w:rPr>
              <w:t>Ⅳ</w:t>
            </w:r>
            <w:r w:rsidRPr="00CA5264">
              <w:rPr>
                <w:rFonts w:asciiTheme="minorEastAsia" w:hAnsiTheme="minorEastAsia"/>
                <w:sz w:val="16"/>
                <w:szCs w:val="16"/>
              </w:rPr>
              <w:t>-2:應用所學到的科學知識與科學探究方法</w:t>
            </w:r>
            <w:r w:rsidRPr="00CA5264">
              <w:rPr>
                <w:rFonts w:asciiTheme="minorEastAsia" w:hAnsiTheme="minorEastAsia" w:hint="eastAsia"/>
                <w:sz w:val="16"/>
                <w:szCs w:val="16"/>
              </w:rPr>
              <w:t>，</w:t>
            </w:r>
            <w:r w:rsidRPr="00CA5264">
              <w:rPr>
                <w:rFonts w:asciiTheme="minorEastAsia" w:hAnsiTheme="minorEastAsia"/>
                <w:sz w:val="16"/>
                <w:szCs w:val="16"/>
              </w:rPr>
              <w:t>幫助自己做出最佳的決定。</w:t>
            </w:r>
          </w:p>
        </w:tc>
        <w:tc>
          <w:tcPr>
            <w:tcW w:w="1101" w:type="dxa"/>
          </w:tcPr>
          <w:p w14:paraId="4F67E0F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-1:力能引發物體的移動或轉動。</w:t>
            </w:r>
          </w:p>
          <w:p w14:paraId="5F2EC62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-3:平衡的物體所受合力為零</w:t>
            </w:r>
            <w:r w:rsidRPr="00CA5264">
              <w:rPr>
                <w:rFonts w:asciiTheme="minorEastAsia" w:hAnsiTheme="minorEastAsia" w:hint="eastAsia"/>
                <w:sz w:val="16"/>
                <w:szCs w:val="16"/>
              </w:rPr>
              <w:t>且</w:t>
            </w:r>
            <w:r w:rsidRPr="00CA5264">
              <w:rPr>
                <w:rFonts w:asciiTheme="minorEastAsia" w:hAnsiTheme="minorEastAsia"/>
                <w:sz w:val="16"/>
                <w:szCs w:val="16"/>
              </w:rPr>
              <w:t>合力矩為零。</w:t>
            </w:r>
          </w:p>
          <w:p w14:paraId="20750FF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-4:摩擦力可分靜摩擦力與動摩擦力。</w:t>
            </w:r>
          </w:p>
        </w:tc>
        <w:tc>
          <w:tcPr>
            <w:tcW w:w="1171" w:type="dxa"/>
          </w:tcPr>
          <w:p w14:paraId="45F1BD2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知道力的種類包括超距力與接觸力。</w:t>
            </w:r>
          </w:p>
          <w:p w14:paraId="65F3A11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知道萬有引力、靜電力和磁力是超距力；浮力、摩擦力和彈力等是接觸力。</w:t>
            </w:r>
          </w:p>
          <w:p w14:paraId="4E77FA9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知道力的效應包括改變物體的形狀、體積大小或運動狀態。</w:t>
            </w:r>
          </w:p>
          <w:p w14:paraId="6BD49F9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了解利用物體形狀改變的程度，可以測量力的大小。</w:t>
            </w:r>
          </w:p>
          <w:p w14:paraId="56FC051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知道彈簧的伸長量會與受力大小成正比。</w:t>
            </w:r>
          </w:p>
          <w:p w14:paraId="1D5BAF3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知道生活中常用公克重（gw）與公斤重（kgw）作為力的單位。</w:t>
            </w:r>
          </w:p>
          <w:p w14:paraId="615D16A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知道力的作用與力的大小、方向和作用點有關，稱為力的三要素。</w:t>
            </w:r>
          </w:p>
          <w:p w14:paraId="4B3C2BA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藉由實驗了解力的平衡與合成。</w:t>
            </w:r>
          </w:p>
          <w:p w14:paraId="5E62F3E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能求出在一直線中各力的合力。</w:t>
            </w:r>
          </w:p>
          <w:p w14:paraId="153440D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0</w:t>
            </w:r>
            <w:r w:rsidRPr="00CA5264">
              <w:rPr>
                <w:rFonts w:asciiTheme="minorEastAsia" w:hAnsiTheme="minorEastAsia" w:hint="eastAsia"/>
                <w:sz w:val="16"/>
                <w:szCs w:val="16"/>
              </w:rPr>
              <w:t>. 透過實驗探討影響摩擦力的各種因素。</w:t>
            </w:r>
          </w:p>
          <w:p w14:paraId="10A809A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11</w:t>
            </w:r>
            <w:r w:rsidRPr="00CA5264">
              <w:rPr>
                <w:rFonts w:asciiTheme="minorEastAsia" w:hAnsiTheme="minorEastAsia" w:hint="eastAsia"/>
                <w:sz w:val="16"/>
                <w:szCs w:val="16"/>
              </w:rPr>
              <w:t>. 知道摩擦力的種類包括靜摩擦力、最大靜摩擦力和動摩擦力。</w:t>
            </w:r>
          </w:p>
          <w:p w14:paraId="19869F6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12</w:t>
            </w:r>
            <w:r w:rsidRPr="00CA5264">
              <w:rPr>
                <w:rFonts w:asciiTheme="minorEastAsia" w:hAnsiTheme="minorEastAsia" w:hint="eastAsia"/>
                <w:sz w:val="16"/>
                <w:szCs w:val="16"/>
              </w:rPr>
              <w:t>. 知道靜摩擦力的大小和外力相等，方向和外力相反。</w:t>
            </w:r>
          </w:p>
          <w:p w14:paraId="5C9D656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13</w:t>
            </w:r>
            <w:r w:rsidRPr="00CA5264">
              <w:rPr>
                <w:rFonts w:asciiTheme="minorEastAsia" w:hAnsiTheme="minorEastAsia" w:hint="eastAsia"/>
                <w:sz w:val="16"/>
                <w:szCs w:val="16"/>
              </w:rPr>
              <w:t>. 了解最大靜摩擦力的意義及影響最大靜摩擦力的因素。</w:t>
            </w:r>
          </w:p>
          <w:p w14:paraId="1D4791A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14</w:t>
            </w:r>
            <w:r w:rsidRPr="00CA5264">
              <w:rPr>
                <w:rFonts w:asciiTheme="minorEastAsia" w:hAnsiTheme="minorEastAsia" w:hint="eastAsia"/>
                <w:sz w:val="16"/>
                <w:szCs w:val="16"/>
              </w:rPr>
              <w:t>. 了解動摩擦力的意義及影響動摩擦力的因素。</w:t>
            </w:r>
          </w:p>
          <w:p w14:paraId="5DABBC3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15</w:t>
            </w:r>
            <w:r w:rsidRPr="00CA5264">
              <w:rPr>
                <w:rFonts w:asciiTheme="minorEastAsia" w:hAnsiTheme="minorEastAsia" w:hint="eastAsia"/>
                <w:sz w:val="16"/>
                <w:szCs w:val="16"/>
              </w:rPr>
              <w:t>. 知道摩擦力對生活的影響，以及增減摩擦力的方法。</w:t>
            </w:r>
          </w:p>
        </w:tc>
        <w:tc>
          <w:tcPr>
            <w:tcW w:w="2973" w:type="dxa"/>
            <w:shd w:val="clear" w:color="auto" w:fill="auto"/>
          </w:tcPr>
          <w:p w14:paraId="205F555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說明一個物體同時受兩力（甲和乙）作用時，如果用一個力（丙）代表這兩力，對物體產生的效果相同時，則丙稱為甲和乙的合力。物體同時受兩個以上的力作用時，也是如此。</w:t>
            </w:r>
          </w:p>
          <w:p w14:paraId="045953D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利用力圖說明兩力方向相同或相反時，如何找出兩力合力的方法，並提問學生兩力方向相同或相反時，合力的大小。</w:t>
            </w:r>
          </w:p>
          <w:p w14:paraId="71F1BD7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藉由力的平衡概念，介紹靜置物體所受的力。</w:t>
            </w:r>
          </w:p>
          <w:p w14:paraId="61FE42B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連結「自然暖身操」回顧力的分類。另外教師可多出幾道例題，請學生畫出力圖，以檢測力學基本概念。</w:t>
            </w:r>
          </w:p>
          <w:p w14:paraId="7252413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以「自然暖身操」為例，藉由思考推動不同重量的物體所需的力量大小，引入摩擦力的概念。</w:t>
            </w:r>
          </w:p>
          <w:p w14:paraId="589CD9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藉由日常生活推動物體，說明什麼是摩擦力。</w:t>
            </w:r>
          </w:p>
          <w:p w14:paraId="14608E1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由所得的數據和結果，藉由問題與討論，找出影響摩擦力的因素。</w:t>
            </w:r>
          </w:p>
        </w:tc>
        <w:tc>
          <w:tcPr>
            <w:tcW w:w="567" w:type="dxa"/>
          </w:tcPr>
          <w:p w14:paraId="57380F60" w14:textId="66816796"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1CB2BBD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w:t>
            </w:r>
          </w:p>
          <w:p w14:paraId="0FDD7C3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磁鐵。</w:t>
            </w:r>
          </w:p>
          <w:p w14:paraId="3EF2A0D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砝碼。</w:t>
            </w:r>
          </w:p>
          <w:p w14:paraId="7D11630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橡皮筋。</w:t>
            </w:r>
          </w:p>
          <w:p w14:paraId="1F10ADE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彈簧秤。</w:t>
            </w:r>
          </w:p>
          <w:p w14:paraId="5DEB5C57"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繩子。</w:t>
            </w:r>
          </w:p>
        </w:tc>
        <w:tc>
          <w:tcPr>
            <w:tcW w:w="709" w:type="dxa"/>
          </w:tcPr>
          <w:p w14:paraId="29425A0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7183E7D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6C6269F6"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1688059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7B4A679C"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7075C700"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71604A9A"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161ADCAD"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1F908D86"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07921BC2"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0B3F9F4C"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22CED478"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73B9B95C"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4333AEC7" w14:textId="77777777" w:rsidTr="00ED18E0">
        <w:tc>
          <w:tcPr>
            <w:tcW w:w="539" w:type="dxa"/>
          </w:tcPr>
          <w:p w14:paraId="6F5F2EF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十五</w:t>
            </w:r>
          </w:p>
        </w:tc>
        <w:tc>
          <w:tcPr>
            <w:tcW w:w="709" w:type="dxa"/>
          </w:tcPr>
          <w:p w14:paraId="3199DBBA"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5/24-5/28</w:t>
            </w:r>
          </w:p>
        </w:tc>
        <w:tc>
          <w:tcPr>
            <w:tcW w:w="709" w:type="dxa"/>
          </w:tcPr>
          <w:p w14:paraId="768F3D51"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第6章力與壓力</w:t>
            </w:r>
          </w:p>
        </w:tc>
        <w:tc>
          <w:tcPr>
            <w:tcW w:w="709" w:type="dxa"/>
          </w:tcPr>
          <w:p w14:paraId="703048F4"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snapToGrid w:val="0"/>
                <w:kern w:val="0"/>
                <w:sz w:val="16"/>
                <w:szCs w:val="16"/>
              </w:rPr>
              <w:t>6．</w:t>
            </w:r>
            <w:r w:rsidRPr="00CA5264">
              <w:rPr>
                <w:rFonts w:ascii="新細明體" w:eastAsia="新細明體" w:hAnsi="新細明體" w:hint="eastAsia"/>
                <w:snapToGrid w:val="0"/>
                <w:kern w:val="0"/>
                <w:sz w:val="16"/>
                <w:szCs w:val="16"/>
              </w:rPr>
              <w:t>2摩擦力</w:t>
            </w:r>
          </w:p>
        </w:tc>
        <w:tc>
          <w:tcPr>
            <w:tcW w:w="708" w:type="dxa"/>
          </w:tcPr>
          <w:p w14:paraId="076BB4A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49FE0F7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32A3DC76"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534D765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5DC2529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02E6E996"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6F9BCF9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C1:道德實踐與公民意識</w:t>
            </w:r>
          </w:p>
        </w:tc>
        <w:tc>
          <w:tcPr>
            <w:tcW w:w="1737" w:type="dxa"/>
          </w:tcPr>
          <w:p w14:paraId="4777EB9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5E95C384"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327A799E"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1F9873F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36A6D00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3888A1C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6CB3DA7C"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自-J-C1:從日常學習中，主動關心自然環境相關公共議題，尊重生命。</w:t>
            </w:r>
          </w:p>
        </w:tc>
        <w:tc>
          <w:tcPr>
            <w:tcW w:w="1240" w:type="dxa"/>
          </w:tcPr>
          <w:p w14:paraId="4AD1BCE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6B4905D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-2:能辨別適合科學探究或適合以科學方式尋求解決的問題（或假說），並能依據觀察、蒐集資料、閱讀、思考、討論等，提出適宜探究之問題。</w:t>
            </w:r>
          </w:p>
          <w:p w14:paraId="6B72091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-1:能辨明多個自變項、應變項並計劃適當次數的測試、預測活動的可能結果。在教師或教科書的指導或說明下，能了解探究的計畫，並進而能根據問題特性、資源（</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設備、時間）等因素，規劃具有可信度（</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多次測量等）的探究活動。</w:t>
            </w:r>
          </w:p>
          <w:p w14:paraId="10D34DC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155AF14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5CE8116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p w14:paraId="4DF094F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ah-</w:t>
            </w:r>
            <w:r w:rsidRPr="00CA5264">
              <w:rPr>
                <w:rFonts w:asciiTheme="minorEastAsia" w:hAnsiTheme="minorEastAsia" w:hint="eastAsia"/>
                <w:sz w:val="16"/>
                <w:szCs w:val="16"/>
              </w:rPr>
              <w:t>Ⅳ</w:t>
            </w:r>
            <w:r w:rsidRPr="00CA5264">
              <w:rPr>
                <w:rFonts w:asciiTheme="minorEastAsia" w:hAnsiTheme="minorEastAsia"/>
                <w:sz w:val="16"/>
                <w:szCs w:val="16"/>
              </w:rPr>
              <w:t>-2:應用所學到的科學知識與科學探究方法</w:t>
            </w:r>
            <w:r w:rsidRPr="00CA5264">
              <w:rPr>
                <w:rFonts w:asciiTheme="minorEastAsia" w:hAnsiTheme="minorEastAsia" w:hint="eastAsia"/>
                <w:sz w:val="16"/>
                <w:szCs w:val="16"/>
              </w:rPr>
              <w:t>，</w:t>
            </w:r>
            <w:r w:rsidRPr="00CA5264">
              <w:rPr>
                <w:rFonts w:asciiTheme="minorEastAsia" w:hAnsiTheme="minorEastAsia"/>
                <w:sz w:val="16"/>
                <w:szCs w:val="16"/>
              </w:rPr>
              <w:t>幫助自己做出最佳的決定。</w:t>
            </w:r>
          </w:p>
        </w:tc>
        <w:tc>
          <w:tcPr>
            <w:tcW w:w="1101" w:type="dxa"/>
          </w:tcPr>
          <w:p w14:paraId="21901EA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-4:摩擦力可分靜摩擦力與動摩擦力。</w:t>
            </w:r>
          </w:p>
        </w:tc>
        <w:tc>
          <w:tcPr>
            <w:tcW w:w="1171" w:type="dxa"/>
          </w:tcPr>
          <w:p w14:paraId="30F3B7D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透過實驗探討影響摩擦力的各種因素。</w:t>
            </w:r>
          </w:p>
          <w:p w14:paraId="10E18E0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知道摩擦力的種類包括靜摩擦力、最大靜摩擦力和動摩擦力。</w:t>
            </w:r>
          </w:p>
          <w:p w14:paraId="381255D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知道靜摩擦力的大小和外力相等，方向和外力相反。</w:t>
            </w:r>
          </w:p>
          <w:p w14:paraId="32750FC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了解最大靜摩擦力的意義及影響最大靜摩擦力的因素。</w:t>
            </w:r>
          </w:p>
          <w:p w14:paraId="4FE9F40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了解動摩擦力的意義及影響動摩擦力的因素。</w:t>
            </w:r>
          </w:p>
          <w:p w14:paraId="5D43314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知道摩擦力對生活的影響，以及增減摩擦力的方法。</w:t>
            </w:r>
          </w:p>
        </w:tc>
        <w:tc>
          <w:tcPr>
            <w:tcW w:w="2973" w:type="dxa"/>
            <w:shd w:val="clear" w:color="auto" w:fill="auto"/>
          </w:tcPr>
          <w:p w14:paraId="75C6DD0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說明最大靜摩擦力的意義，配合實驗結果，歸納出最大靜摩擦力與接觸表面的性質與狀況（包括物體的材質、粗糙及乾燥程度等）有關，也與物體垂直作用在接觸面的力（正向力）大小有關。</w:t>
            </w:r>
          </w:p>
          <w:p w14:paraId="691ABDD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歸納實驗結果，了解影響摩擦力大小的因素，包括物體本身材質、接觸面性質和垂直作用在接觸面的作用力（正向力）有關。</w:t>
            </w:r>
          </w:p>
          <w:p w14:paraId="41F0FE6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教師示範推動講桌，講桌卻仍靜止不動，說明講桌處於力的平衡狀態，分析必有一個摩擦力來抵消外力，講桌未動前，靜摩擦力的大小和方向，必隨外力而改變，接著提問靜摩擦力的性質。</w:t>
            </w:r>
          </w:p>
          <w:p w14:paraId="555D6CF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說明動摩擦力的意義，以及動摩擦力與接觸面的性質與狀況（包括物體的材質、粗糙及乾燥程度等）有關，也與物體垂直作用在接觸面的力的大小有關。</w:t>
            </w:r>
          </w:p>
          <w:p w14:paraId="7C2A49F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比較最大靜摩擦力和動摩擦力的不同。</w:t>
            </w:r>
          </w:p>
          <w:p w14:paraId="7D64B42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舉例說明摩擦力對日常生活的影響，以及增加或減少摩擦力的方法。</w:t>
            </w:r>
          </w:p>
        </w:tc>
        <w:tc>
          <w:tcPr>
            <w:tcW w:w="567" w:type="dxa"/>
          </w:tcPr>
          <w:p w14:paraId="1B609FE1" w14:textId="132E7000" w:rsidR="00766369" w:rsidRPr="0052708D" w:rsidRDefault="00ED18E0" w:rsidP="00F55A1B">
            <w:pPr>
              <w:snapToGrid w:val="0"/>
              <w:jc w:val="both"/>
              <w:rPr>
                <w:rFonts w:asciiTheme="minorEastAsia" w:hAnsiTheme="minorEastAsia"/>
                <w:sz w:val="16"/>
                <w:szCs w:val="16"/>
              </w:rPr>
            </w:pPr>
            <w:r>
              <w:rPr>
                <w:rFonts w:asciiTheme="minorEastAsia" w:hAnsiTheme="minorEastAsia" w:hint="eastAsia"/>
                <w:sz w:val="16"/>
                <w:szCs w:val="16"/>
              </w:rPr>
              <w:t>4</w:t>
            </w:r>
          </w:p>
        </w:tc>
        <w:tc>
          <w:tcPr>
            <w:tcW w:w="850" w:type="dxa"/>
          </w:tcPr>
          <w:p w14:paraId="64E22E8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w:t>
            </w:r>
          </w:p>
        </w:tc>
        <w:tc>
          <w:tcPr>
            <w:tcW w:w="709" w:type="dxa"/>
          </w:tcPr>
          <w:p w14:paraId="541F452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4EAC189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3B395B7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22778814"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5EAC2D8C"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0E5C3C3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037FA49D"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52DAD434"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300BBF6F"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4DBBD86B"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3A6A6B92"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1FAD8CB1"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5FFB352B"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2AED8FE7" w14:textId="77777777" w:rsidTr="00ED18E0">
        <w:tc>
          <w:tcPr>
            <w:tcW w:w="539" w:type="dxa"/>
          </w:tcPr>
          <w:p w14:paraId="30C4E14F"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十六</w:t>
            </w:r>
          </w:p>
        </w:tc>
        <w:tc>
          <w:tcPr>
            <w:tcW w:w="709" w:type="dxa"/>
          </w:tcPr>
          <w:p w14:paraId="0C046573"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5/31-6/4</w:t>
            </w:r>
          </w:p>
        </w:tc>
        <w:tc>
          <w:tcPr>
            <w:tcW w:w="709" w:type="dxa"/>
          </w:tcPr>
          <w:p w14:paraId="1FB4A6C6"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第6章力與壓力</w:t>
            </w:r>
          </w:p>
        </w:tc>
        <w:tc>
          <w:tcPr>
            <w:tcW w:w="709" w:type="dxa"/>
          </w:tcPr>
          <w:p w14:paraId="706EC408"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snapToGrid w:val="0"/>
                <w:kern w:val="0"/>
                <w:sz w:val="16"/>
                <w:szCs w:val="16"/>
              </w:rPr>
              <w:t>6．</w:t>
            </w:r>
            <w:r w:rsidRPr="00CA5264">
              <w:rPr>
                <w:rFonts w:ascii="新細明體" w:eastAsia="新細明體" w:hAnsi="新細明體" w:hint="eastAsia"/>
                <w:snapToGrid w:val="0"/>
                <w:kern w:val="0"/>
                <w:sz w:val="16"/>
                <w:szCs w:val="16"/>
              </w:rPr>
              <w:t>2摩擦力、6．3壓力</w:t>
            </w:r>
          </w:p>
        </w:tc>
        <w:tc>
          <w:tcPr>
            <w:tcW w:w="708" w:type="dxa"/>
          </w:tcPr>
          <w:p w14:paraId="6463596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5269668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308E7BDE"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6532CA0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687DCC0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3D09260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23057DB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24B4A9C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C2:人際關係與團隊合作</w:t>
            </w:r>
          </w:p>
          <w:p w14:paraId="41E1F80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14F5225A"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1B338933"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3232D5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178F24D8"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69853BD2"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3754E0D3"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4E41C9F4"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4CED8489"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4F024F04"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269E1EB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1B0D89F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-2:能辨別適合科學探究或適合以科學方式尋求解決的問題（或假說），並能依據觀察、蒐集資料、閱讀、思考、討論等，提出適宜探究之問題。</w:t>
            </w:r>
          </w:p>
          <w:p w14:paraId="717335C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-1:能辨明多個自變項、應變項並計劃適當次數的測試、預測活動的可能結果。在教師或教科書的指導或說明下，能了解探究的計畫，並進而能根據問題特性、資源（</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設備、時間）等因素，規劃具有可信度（</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多次測量等）的探究活動。</w:t>
            </w:r>
          </w:p>
          <w:p w14:paraId="6BE3EE9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2244C6B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4388F6D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p w14:paraId="78722FB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ah-</w:t>
            </w:r>
            <w:r w:rsidRPr="00CA5264">
              <w:rPr>
                <w:rFonts w:asciiTheme="minorEastAsia" w:hAnsiTheme="minorEastAsia" w:hint="eastAsia"/>
                <w:sz w:val="16"/>
                <w:szCs w:val="16"/>
              </w:rPr>
              <w:t>Ⅳ</w:t>
            </w:r>
            <w:r w:rsidRPr="00CA5264">
              <w:rPr>
                <w:rFonts w:asciiTheme="minorEastAsia" w:hAnsiTheme="minorEastAsia"/>
                <w:sz w:val="16"/>
                <w:szCs w:val="16"/>
              </w:rPr>
              <w:t>-2:應用所學到的科學知識與科學探究方法</w:t>
            </w:r>
            <w:r w:rsidRPr="00CA5264">
              <w:rPr>
                <w:rFonts w:asciiTheme="minorEastAsia" w:hAnsiTheme="minorEastAsia" w:hint="eastAsia"/>
                <w:sz w:val="16"/>
                <w:szCs w:val="16"/>
              </w:rPr>
              <w:t>，</w:t>
            </w:r>
            <w:r w:rsidRPr="00CA5264">
              <w:rPr>
                <w:rFonts w:asciiTheme="minorEastAsia" w:hAnsiTheme="minorEastAsia"/>
                <w:sz w:val="16"/>
                <w:szCs w:val="16"/>
              </w:rPr>
              <w:t>幫助自己做出最佳的決定。</w:t>
            </w:r>
          </w:p>
          <w:p w14:paraId="4F9DF76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-1:能從學習活動、日常經驗及科技運用、自然環境、書刊及網路媒體中，進行各種有計畫的觀察，進而能察覺問題。</w:t>
            </w:r>
          </w:p>
          <w:p w14:paraId="7A299FA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-2:透過與同儕的討論，分享科學發現的樂趣。</w:t>
            </w:r>
          </w:p>
          <w:p w14:paraId="29DEDD6E"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tc>
        <w:tc>
          <w:tcPr>
            <w:tcW w:w="1101" w:type="dxa"/>
          </w:tcPr>
          <w:p w14:paraId="65E17FE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-4:摩擦力可分靜摩擦力與動摩擦力。</w:t>
            </w:r>
          </w:p>
          <w:p w14:paraId="16F5A56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-5:</w:t>
            </w:r>
            <w:r w:rsidRPr="00CA5264">
              <w:rPr>
                <w:rFonts w:asciiTheme="minorEastAsia" w:hAnsiTheme="minorEastAsia" w:hint="eastAsia"/>
                <w:sz w:val="16"/>
                <w:szCs w:val="16"/>
              </w:rPr>
              <w:t>壓力的定義與</w:t>
            </w:r>
            <w:r w:rsidRPr="00CA5264">
              <w:rPr>
                <w:rFonts w:asciiTheme="minorEastAsia" w:hAnsiTheme="minorEastAsia"/>
                <w:sz w:val="16"/>
                <w:szCs w:val="16"/>
              </w:rPr>
              <w:t>帕斯卡原理。</w:t>
            </w:r>
          </w:p>
          <w:p w14:paraId="68D829E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Ec-</w:t>
            </w:r>
            <w:r w:rsidRPr="00CA5264">
              <w:rPr>
                <w:rFonts w:asciiTheme="minorEastAsia" w:hAnsiTheme="minorEastAsia" w:hint="eastAsia"/>
                <w:sz w:val="16"/>
                <w:szCs w:val="16"/>
              </w:rPr>
              <w:t>Ⅳ</w:t>
            </w:r>
            <w:r w:rsidRPr="00CA5264">
              <w:rPr>
                <w:rFonts w:asciiTheme="minorEastAsia" w:hAnsiTheme="minorEastAsia"/>
                <w:sz w:val="16"/>
                <w:szCs w:val="16"/>
              </w:rPr>
              <w:t>-1:大氣壓力是因為大氣層中空氣的重量所造成。</w:t>
            </w:r>
          </w:p>
          <w:p w14:paraId="47CB6A1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Ec-</w:t>
            </w:r>
            <w:r w:rsidRPr="00CA5264">
              <w:rPr>
                <w:rFonts w:asciiTheme="minorEastAsia" w:hAnsiTheme="minorEastAsia" w:hint="eastAsia"/>
                <w:sz w:val="16"/>
                <w:szCs w:val="16"/>
              </w:rPr>
              <w:t>Ⅳ</w:t>
            </w:r>
            <w:r w:rsidRPr="00CA5264">
              <w:rPr>
                <w:rFonts w:asciiTheme="minorEastAsia" w:hAnsiTheme="minorEastAsia"/>
                <w:sz w:val="16"/>
                <w:szCs w:val="16"/>
              </w:rPr>
              <w:t>-2:定溫下</w:t>
            </w:r>
            <w:r w:rsidRPr="00CA5264">
              <w:rPr>
                <w:rFonts w:asciiTheme="minorEastAsia" w:hAnsiTheme="minorEastAsia" w:hint="eastAsia"/>
                <w:sz w:val="16"/>
                <w:szCs w:val="16"/>
              </w:rPr>
              <w:t>，</w:t>
            </w:r>
            <w:r w:rsidRPr="00CA5264">
              <w:rPr>
                <w:rFonts w:asciiTheme="minorEastAsia" w:hAnsiTheme="minorEastAsia"/>
                <w:sz w:val="16"/>
                <w:szCs w:val="16"/>
              </w:rPr>
              <w:t>定量氣體在密閉容器內，其壓力與體積的定性關係。</w:t>
            </w:r>
          </w:p>
        </w:tc>
        <w:tc>
          <w:tcPr>
            <w:tcW w:w="1171" w:type="dxa"/>
          </w:tcPr>
          <w:p w14:paraId="61B0D30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w:t>
            </w:r>
            <w:r w:rsidRPr="00CA5264">
              <w:rPr>
                <w:rFonts w:asciiTheme="minorEastAsia" w:hAnsiTheme="minorEastAsia" w:hint="eastAsia"/>
                <w:sz w:val="16"/>
                <w:szCs w:val="16"/>
              </w:rPr>
              <w:t>. 知道摩擦力對生活的影響，以及增減摩擦力的方法。</w:t>
            </w:r>
          </w:p>
          <w:p w14:paraId="579CD75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2</w:t>
            </w:r>
            <w:r w:rsidRPr="00CA5264">
              <w:rPr>
                <w:rFonts w:asciiTheme="minorEastAsia" w:hAnsiTheme="minorEastAsia" w:hint="eastAsia"/>
                <w:sz w:val="16"/>
                <w:szCs w:val="16"/>
              </w:rPr>
              <w:t>. 了解壓力的定義。</w:t>
            </w:r>
          </w:p>
          <w:p w14:paraId="36FDDAA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3</w:t>
            </w:r>
            <w:r w:rsidRPr="00CA5264">
              <w:rPr>
                <w:rFonts w:asciiTheme="minorEastAsia" w:hAnsiTheme="minorEastAsia" w:hint="eastAsia"/>
                <w:sz w:val="16"/>
                <w:szCs w:val="16"/>
              </w:rPr>
              <w:t>. 能計算壓力的大小。</w:t>
            </w:r>
          </w:p>
          <w:p w14:paraId="43B92AE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知道壓力的單位。</w:t>
            </w:r>
          </w:p>
          <w:p w14:paraId="31AFC6A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了解生活中與壓力有關的現象，及其原理。</w:t>
            </w:r>
          </w:p>
          <w:p w14:paraId="3F6482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6</w:t>
            </w:r>
            <w:r w:rsidRPr="00CA5264">
              <w:rPr>
                <w:rFonts w:asciiTheme="minorEastAsia" w:hAnsiTheme="minorEastAsia" w:hint="eastAsia"/>
                <w:sz w:val="16"/>
                <w:szCs w:val="16"/>
              </w:rPr>
              <w:t>. 透過實驗了解靜止時液體壓力的基本特性。</w:t>
            </w:r>
          </w:p>
          <w:p w14:paraId="0DFEC56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知道液體壓力的作用力在各方向均垂直於接觸面。</w:t>
            </w:r>
          </w:p>
          <w:p w14:paraId="01E74F4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8</w:t>
            </w:r>
            <w:r w:rsidRPr="00CA5264">
              <w:rPr>
                <w:rFonts w:asciiTheme="minorEastAsia" w:hAnsiTheme="minorEastAsia" w:hint="eastAsia"/>
                <w:sz w:val="16"/>
                <w:szCs w:val="16"/>
              </w:rPr>
              <w:t>. 知道靜止液體中，同一深度任一點來自各方向的壓力大小都相等。</w:t>
            </w:r>
          </w:p>
          <w:p w14:paraId="21D8B78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9</w:t>
            </w:r>
            <w:r w:rsidRPr="00CA5264">
              <w:rPr>
                <w:rFonts w:asciiTheme="minorEastAsia" w:hAnsiTheme="minorEastAsia" w:hint="eastAsia"/>
                <w:sz w:val="16"/>
                <w:szCs w:val="16"/>
              </w:rPr>
              <w:t>. 知道深度越深，液體的壓力越大，在同一深度時，液體的壓力相等。</w:t>
            </w:r>
          </w:p>
          <w:p w14:paraId="1206598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10</w:t>
            </w:r>
            <w:r w:rsidRPr="00CA5264">
              <w:rPr>
                <w:rFonts w:asciiTheme="minorEastAsia" w:hAnsiTheme="minorEastAsia" w:hint="eastAsia"/>
                <w:sz w:val="16"/>
                <w:szCs w:val="16"/>
              </w:rPr>
              <w:t>. 知道液體有向上壓力的存在，而且同一位置，向上壓力與向下壓力相等。</w:t>
            </w:r>
          </w:p>
          <w:p w14:paraId="18A4FDC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1</w:t>
            </w:r>
            <w:r w:rsidRPr="00CA5264">
              <w:rPr>
                <w:rFonts w:asciiTheme="minorEastAsia" w:hAnsiTheme="minorEastAsia" w:hint="eastAsia"/>
                <w:sz w:val="16"/>
                <w:szCs w:val="16"/>
              </w:rPr>
              <w:t>. 了解靜止液體壓力等於液體深度乘以液體單位體積的重量。</w:t>
            </w:r>
          </w:p>
        </w:tc>
        <w:tc>
          <w:tcPr>
            <w:tcW w:w="2973" w:type="dxa"/>
            <w:shd w:val="clear" w:color="auto" w:fill="auto"/>
          </w:tcPr>
          <w:p w14:paraId="0CA7EF6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總結靜摩擦力、最大靜摩擦力以及動摩擦力的性質，並回顧「自然暖身操」的提問。</w:t>
            </w:r>
          </w:p>
          <w:p w14:paraId="2197A91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以「自然暖身操」為例，藉由提袋的提手寬度對於手提東西時的影響，引入壓力的概念。</w:t>
            </w:r>
          </w:p>
          <w:p w14:paraId="523EC86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利用海綿與玻璃瓶示範「作用力大小與壓力的關係」以及「受力面積大小與壓力的關係」。</w:t>
            </w:r>
          </w:p>
          <w:p w14:paraId="4D9BB4B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評量學生是否能由觀察、討論得知：海綿的凹陷程度與垂直作用力及受力面積的大小有關。</w:t>
            </w:r>
          </w:p>
          <w:p w14:paraId="6971D13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介紹壓力：(1)講述壓力的定義。(2)講述壓力的單位。(3)讓學生估算自己：①站著時，兩腳所受的壓力大小。②坐著時，臀部所受的壓力大小。③躺著時，背部所受的壓力大小。</w:t>
            </w:r>
          </w:p>
          <w:p w14:paraId="4E74E06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以課本圖照為例，因為筆尖與手指接觸面積較手指與筆桿尾端接觸面積少，兩隻手指所受到的力量一樣，所以抵住筆尖的手指凹陷較深。</w:t>
            </w:r>
          </w:p>
          <w:p w14:paraId="74D2E2E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舉例說明生活中壓力原理的運用，例如：利用刀子和叉子切斷或插進食物、圖釘的設計原理等；可請學生分組討論，並各舉出一個生活中增加及減少壓力的例子。</w:t>
            </w:r>
          </w:p>
          <w:p w14:paraId="5957BD4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可以游泳或泡澡的經驗，讓學生體會液壓的特性。</w:t>
            </w:r>
          </w:p>
          <w:p w14:paraId="1605A60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說明由於液體容易流動變形，能緊密接觸物體各部分施予壓力，因此液壓來自四面八方，並與接觸面垂直。</w:t>
            </w:r>
          </w:p>
          <w:p w14:paraId="71BE8AA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藉由探索活動的觀察，讓學生了解液壓大小與深度的關係。</w:t>
            </w:r>
          </w:p>
          <w:p w14:paraId="35DAAA3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液壓的觀念較抽象，教師可先用規則且均勻的容器推導出P＝hd的公式，並說明靜止液體內同一個水平面上的每一點，其壓力必定相同，否則液體必將流動而不會靜止。接著再利用課文中開口較窄的不均勻容器，解釋液體的壓力為何與容器的形狀無關，並說明容器本身也會提供給液體壓力或承受液體的壓力。</w:t>
            </w:r>
          </w:p>
          <w:p w14:paraId="20C0258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向上壓力的存在，可以請學生以手壓桌子時，桌子也會給手一個向上支撐力的例子來說明。</w:t>
            </w:r>
          </w:p>
          <w:p w14:paraId="066D161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13. 教師可展示連通管，將水由不同的開口處倒入連通管中，並請學生仔細觀察連通管中各容器內的液面高度，讓各組討論2分鐘後，分別進行1分鐘的觀察報告，再由教師做結論並講述連通管原理的應用。</w:t>
            </w:r>
          </w:p>
          <w:p w14:paraId="21F667D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14. 引導學生舉出在日常生活中，有關連通管原理的現象與應用。</w:t>
            </w:r>
          </w:p>
        </w:tc>
        <w:tc>
          <w:tcPr>
            <w:tcW w:w="567" w:type="dxa"/>
          </w:tcPr>
          <w:p w14:paraId="04F9C4D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w:t>
            </w:r>
          </w:p>
        </w:tc>
        <w:tc>
          <w:tcPr>
            <w:tcW w:w="850" w:type="dxa"/>
          </w:tcPr>
          <w:p w14:paraId="7D017F5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實驗所需器材。</w:t>
            </w:r>
          </w:p>
          <w:p w14:paraId="3D7F038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w:t>
            </w:r>
            <w:r w:rsidRPr="00CA5264">
              <w:rPr>
                <w:rFonts w:asciiTheme="minorEastAsia" w:hAnsiTheme="minorEastAsia"/>
                <w:sz w:val="16"/>
                <w:szCs w:val="16"/>
              </w:rPr>
              <w:t xml:space="preserve">. </w:t>
            </w:r>
            <w:r w:rsidRPr="00CA5264">
              <w:rPr>
                <w:rFonts w:asciiTheme="minorEastAsia" w:hAnsiTheme="minorEastAsia" w:hint="eastAsia"/>
                <w:sz w:val="16"/>
                <w:szCs w:val="16"/>
              </w:rPr>
              <w:t>海綿。</w:t>
            </w:r>
          </w:p>
          <w:p w14:paraId="4CB6FA2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w:t>
            </w:r>
            <w:r w:rsidRPr="00CA5264">
              <w:rPr>
                <w:rFonts w:asciiTheme="minorEastAsia" w:hAnsiTheme="minorEastAsia"/>
                <w:sz w:val="16"/>
                <w:szCs w:val="16"/>
              </w:rPr>
              <w:t xml:space="preserve">. </w:t>
            </w:r>
            <w:r w:rsidRPr="00CA5264">
              <w:rPr>
                <w:rFonts w:asciiTheme="minorEastAsia" w:hAnsiTheme="minorEastAsia" w:hint="eastAsia"/>
                <w:sz w:val="16"/>
                <w:szCs w:val="16"/>
              </w:rPr>
              <w:t>玻璃瓶。</w:t>
            </w:r>
          </w:p>
          <w:p w14:paraId="22A6A4A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w:t>
            </w:r>
            <w:r w:rsidRPr="00CA5264">
              <w:rPr>
                <w:rFonts w:asciiTheme="minorEastAsia" w:hAnsiTheme="minorEastAsia"/>
                <w:sz w:val="16"/>
                <w:szCs w:val="16"/>
              </w:rPr>
              <w:t xml:space="preserve">. </w:t>
            </w:r>
            <w:r w:rsidRPr="00CA5264">
              <w:rPr>
                <w:rFonts w:asciiTheme="minorEastAsia" w:hAnsiTheme="minorEastAsia" w:hint="eastAsia"/>
                <w:sz w:val="16"/>
                <w:szCs w:val="16"/>
              </w:rPr>
              <w:t>空塑膠瓶。</w:t>
            </w:r>
          </w:p>
          <w:p w14:paraId="6E0733E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w:t>
            </w:r>
            <w:r w:rsidRPr="00CA5264">
              <w:rPr>
                <w:rFonts w:asciiTheme="minorEastAsia" w:hAnsiTheme="minorEastAsia"/>
                <w:sz w:val="16"/>
                <w:szCs w:val="16"/>
              </w:rPr>
              <w:t xml:space="preserve">. </w:t>
            </w:r>
            <w:r w:rsidRPr="00CA5264">
              <w:rPr>
                <w:rFonts w:asciiTheme="minorEastAsia" w:hAnsiTheme="minorEastAsia" w:hint="eastAsia"/>
                <w:sz w:val="16"/>
                <w:szCs w:val="16"/>
              </w:rPr>
              <w:t>水桶或水槽。</w:t>
            </w:r>
          </w:p>
          <w:p w14:paraId="255FA06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w:t>
            </w:r>
            <w:r w:rsidRPr="00CA5264">
              <w:rPr>
                <w:rFonts w:asciiTheme="minorEastAsia" w:hAnsiTheme="minorEastAsia"/>
                <w:sz w:val="16"/>
                <w:szCs w:val="16"/>
              </w:rPr>
              <w:t xml:space="preserve">. </w:t>
            </w:r>
            <w:r w:rsidRPr="00CA5264">
              <w:rPr>
                <w:rFonts w:asciiTheme="minorEastAsia" w:hAnsiTheme="minorEastAsia" w:hint="eastAsia"/>
                <w:sz w:val="16"/>
                <w:szCs w:val="16"/>
              </w:rPr>
              <w:t>連通管。</w:t>
            </w:r>
          </w:p>
        </w:tc>
        <w:tc>
          <w:tcPr>
            <w:tcW w:w="709" w:type="dxa"/>
          </w:tcPr>
          <w:p w14:paraId="6098733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口頭評量</w:t>
            </w:r>
          </w:p>
          <w:p w14:paraId="5388035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實作評量</w:t>
            </w:r>
          </w:p>
          <w:p w14:paraId="23F58AC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紙筆評量</w:t>
            </w:r>
          </w:p>
        </w:tc>
        <w:tc>
          <w:tcPr>
            <w:tcW w:w="709" w:type="dxa"/>
          </w:tcPr>
          <w:p w14:paraId="1DD90002"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28E203CD"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01B8965C"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216CF475"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6BEAE659"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2D93DDDE"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1CB3591B"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276E10E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448BAC03"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3D52C21C"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3AB4A106" w14:textId="77777777" w:rsidTr="00ED18E0">
        <w:tc>
          <w:tcPr>
            <w:tcW w:w="539" w:type="dxa"/>
          </w:tcPr>
          <w:p w14:paraId="76B661B0"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十七</w:t>
            </w:r>
          </w:p>
        </w:tc>
        <w:tc>
          <w:tcPr>
            <w:tcW w:w="709" w:type="dxa"/>
          </w:tcPr>
          <w:p w14:paraId="4DCE95CC"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6/7-6/11</w:t>
            </w:r>
          </w:p>
        </w:tc>
        <w:tc>
          <w:tcPr>
            <w:tcW w:w="709" w:type="dxa"/>
          </w:tcPr>
          <w:p w14:paraId="09558C81"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第6章力與壓力</w:t>
            </w:r>
          </w:p>
        </w:tc>
        <w:tc>
          <w:tcPr>
            <w:tcW w:w="709" w:type="dxa"/>
          </w:tcPr>
          <w:p w14:paraId="31FBD8BA"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6．3壓力</w:t>
            </w:r>
          </w:p>
        </w:tc>
        <w:tc>
          <w:tcPr>
            <w:tcW w:w="708" w:type="dxa"/>
          </w:tcPr>
          <w:p w14:paraId="25B6235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5775F32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62FD19DE"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22D65488"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1375BB0D"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2695ACCD"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B3:藝術涵養與美感素養</w:t>
            </w:r>
          </w:p>
          <w:p w14:paraId="57130E76"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111EA47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C2:人際關係與團隊合作</w:t>
            </w:r>
          </w:p>
          <w:p w14:paraId="5F98AD77"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7F43A39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60E6DCBF"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13AF7AF5"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4E0CCE3D"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5C50CDB4"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22F0608A"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自-J-B3:透過欣賞山川大地、風雲雨露、河海大洋、日月星辰，體驗自然與生命之美。</w:t>
            </w:r>
          </w:p>
          <w:p w14:paraId="7AB4420E"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70570E9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56D6B7B3"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065244F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-1:能從學習活動、日常經驗及科技運用、自然環境、書刊及網路媒體中，進行各種有計畫的觀察，進而能察覺問題。</w:t>
            </w:r>
          </w:p>
          <w:p w14:paraId="1D2B8F2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-2:透過與同儕的討論，分享科學發現的樂趣。</w:t>
            </w:r>
          </w:p>
          <w:p w14:paraId="2B1F3DC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tc>
        <w:tc>
          <w:tcPr>
            <w:tcW w:w="1101" w:type="dxa"/>
          </w:tcPr>
          <w:p w14:paraId="6891019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-5:</w:t>
            </w:r>
            <w:r w:rsidRPr="00CA5264">
              <w:rPr>
                <w:rFonts w:asciiTheme="minorEastAsia" w:hAnsiTheme="minorEastAsia" w:hint="eastAsia"/>
                <w:sz w:val="16"/>
                <w:szCs w:val="16"/>
              </w:rPr>
              <w:t>壓力的定義與</w:t>
            </w:r>
            <w:r w:rsidRPr="00CA5264">
              <w:rPr>
                <w:rFonts w:asciiTheme="minorEastAsia" w:hAnsiTheme="minorEastAsia"/>
                <w:sz w:val="16"/>
                <w:szCs w:val="16"/>
              </w:rPr>
              <w:t>帕斯卡原理。</w:t>
            </w:r>
          </w:p>
          <w:p w14:paraId="1DF7981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Ec-</w:t>
            </w:r>
            <w:r w:rsidRPr="00CA5264">
              <w:rPr>
                <w:rFonts w:asciiTheme="minorEastAsia" w:hAnsiTheme="minorEastAsia" w:hint="eastAsia"/>
                <w:sz w:val="16"/>
                <w:szCs w:val="16"/>
              </w:rPr>
              <w:t>Ⅳ</w:t>
            </w:r>
            <w:r w:rsidRPr="00CA5264">
              <w:rPr>
                <w:rFonts w:asciiTheme="minorEastAsia" w:hAnsiTheme="minorEastAsia"/>
                <w:sz w:val="16"/>
                <w:szCs w:val="16"/>
              </w:rPr>
              <w:t>-1:大氣壓力是因為大氣層中空氣的重量所造成。</w:t>
            </w:r>
          </w:p>
          <w:p w14:paraId="3E934D3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Ec-</w:t>
            </w:r>
            <w:r w:rsidRPr="00CA5264">
              <w:rPr>
                <w:rFonts w:asciiTheme="minorEastAsia" w:hAnsiTheme="minorEastAsia" w:hint="eastAsia"/>
                <w:sz w:val="16"/>
                <w:szCs w:val="16"/>
              </w:rPr>
              <w:t>Ⅳ</w:t>
            </w:r>
            <w:r w:rsidRPr="00CA5264">
              <w:rPr>
                <w:rFonts w:asciiTheme="minorEastAsia" w:hAnsiTheme="minorEastAsia"/>
                <w:sz w:val="16"/>
                <w:szCs w:val="16"/>
              </w:rPr>
              <w:t>-2:定溫下</w:t>
            </w:r>
            <w:r w:rsidRPr="00CA5264">
              <w:rPr>
                <w:rFonts w:asciiTheme="minorEastAsia" w:hAnsiTheme="minorEastAsia" w:hint="eastAsia"/>
                <w:sz w:val="16"/>
                <w:szCs w:val="16"/>
              </w:rPr>
              <w:t>，</w:t>
            </w:r>
            <w:r w:rsidRPr="00CA5264">
              <w:rPr>
                <w:rFonts w:asciiTheme="minorEastAsia" w:hAnsiTheme="minorEastAsia"/>
                <w:sz w:val="16"/>
                <w:szCs w:val="16"/>
              </w:rPr>
              <w:t>定量氣體在密閉容器內，其壓力與體積的定性關係。</w:t>
            </w:r>
          </w:p>
        </w:tc>
        <w:tc>
          <w:tcPr>
            <w:tcW w:w="1171" w:type="dxa"/>
          </w:tcPr>
          <w:p w14:paraId="340688D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了解連通管原理及其在生活上的應用。</w:t>
            </w:r>
          </w:p>
          <w:p w14:paraId="79BD0AC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2</w:t>
            </w:r>
            <w:r w:rsidRPr="00CA5264">
              <w:rPr>
                <w:rFonts w:asciiTheme="minorEastAsia" w:hAnsiTheme="minorEastAsia" w:hint="eastAsia"/>
                <w:sz w:val="16"/>
                <w:szCs w:val="16"/>
              </w:rPr>
              <w:t>. 了解帕斯卡原理及其在生活上的應用。</w:t>
            </w:r>
          </w:p>
          <w:p w14:paraId="6453709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3</w:t>
            </w:r>
            <w:r w:rsidRPr="00CA5264">
              <w:rPr>
                <w:rFonts w:asciiTheme="minorEastAsia" w:hAnsiTheme="minorEastAsia" w:hint="eastAsia"/>
                <w:sz w:val="16"/>
                <w:szCs w:val="16"/>
              </w:rPr>
              <w:t>. 了解大氣壓力的存在與成因。</w:t>
            </w:r>
          </w:p>
          <w:p w14:paraId="7013849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了解測量大氣壓力的方法──托里切利實驗。</w:t>
            </w:r>
          </w:p>
          <w:p w14:paraId="37D3252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了解壓力單位的換算（1atm＝76cmHg＝1033.6gw/cm</w:t>
            </w:r>
            <w:r w:rsidRPr="00CA5264">
              <w:rPr>
                <w:rFonts w:asciiTheme="minorEastAsia" w:hAnsiTheme="minorEastAsia" w:hint="eastAsia"/>
                <w:sz w:val="16"/>
                <w:szCs w:val="16"/>
                <w:vertAlign w:val="superscript"/>
              </w:rPr>
              <w:t>2</w:t>
            </w:r>
            <w:r w:rsidRPr="00CA5264">
              <w:rPr>
                <w:rFonts w:asciiTheme="minorEastAsia" w:hAnsiTheme="minorEastAsia" w:hint="eastAsia"/>
                <w:sz w:val="16"/>
                <w:szCs w:val="16"/>
              </w:rPr>
              <w:t>＝1013hpa）。</w:t>
            </w:r>
          </w:p>
          <w:p w14:paraId="3A44D99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6</w:t>
            </w:r>
            <w:r w:rsidRPr="00CA5264">
              <w:rPr>
                <w:rFonts w:asciiTheme="minorEastAsia" w:hAnsiTheme="minorEastAsia" w:hint="eastAsia"/>
                <w:sz w:val="16"/>
                <w:szCs w:val="16"/>
              </w:rPr>
              <w:t>. 了解密閉容器內氣體所受的壓力與體積的關係。</w:t>
            </w:r>
          </w:p>
          <w:p w14:paraId="7E5BD42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知道大氣壓力在生活中的應用。</w:t>
            </w:r>
          </w:p>
          <w:p w14:paraId="23E6269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8</w:t>
            </w:r>
            <w:r w:rsidRPr="00CA5264">
              <w:rPr>
                <w:rFonts w:asciiTheme="minorEastAsia" w:hAnsiTheme="minorEastAsia" w:hint="eastAsia"/>
                <w:sz w:val="16"/>
                <w:szCs w:val="16"/>
              </w:rPr>
              <w:t>. 了解壓力的定義。</w:t>
            </w:r>
          </w:p>
          <w:p w14:paraId="4F63740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9</w:t>
            </w:r>
            <w:r w:rsidRPr="00CA5264">
              <w:rPr>
                <w:rFonts w:asciiTheme="minorEastAsia" w:hAnsiTheme="minorEastAsia" w:hint="eastAsia"/>
                <w:sz w:val="16"/>
                <w:szCs w:val="16"/>
              </w:rPr>
              <w:t>. 能計算壓力的大小。</w:t>
            </w:r>
          </w:p>
          <w:p w14:paraId="35661B9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10</w:t>
            </w:r>
            <w:r w:rsidRPr="00CA5264">
              <w:rPr>
                <w:rFonts w:asciiTheme="minorEastAsia" w:hAnsiTheme="minorEastAsia" w:hint="eastAsia"/>
                <w:sz w:val="16"/>
                <w:szCs w:val="16"/>
              </w:rPr>
              <w:t>. 知道壓力的單位。</w:t>
            </w:r>
          </w:p>
          <w:p w14:paraId="293D1F7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11</w:t>
            </w:r>
            <w:r w:rsidRPr="00CA5264">
              <w:rPr>
                <w:rFonts w:asciiTheme="minorEastAsia" w:hAnsiTheme="minorEastAsia" w:hint="eastAsia"/>
                <w:sz w:val="16"/>
                <w:szCs w:val="16"/>
              </w:rPr>
              <w:t>. 了解生活中與壓力有關的現象，及其原理。</w:t>
            </w:r>
          </w:p>
        </w:tc>
        <w:tc>
          <w:tcPr>
            <w:tcW w:w="2973" w:type="dxa"/>
            <w:shd w:val="clear" w:color="auto" w:fill="auto"/>
          </w:tcPr>
          <w:p w14:paraId="28EBCC4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介紹帕斯卡原理及其應用，並評量學生能否說出何謂帕斯卡原理，並舉出帕斯卡原理在日常生活中應用的實例。</w:t>
            </w:r>
          </w:p>
          <w:p w14:paraId="7908894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說明所謂大氣壓力是指周圍的大氣所造成的壓力，也就是由大氣層的空氣重量所造成的。</w:t>
            </w:r>
          </w:p>
          <w:p w14:paraId="578809B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利用課本圖講解托里切利的實驗。</w:t>
            </w:r>
          </w:p>
          <w:p w14:paraId="18E99AE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介紹常用來表示大氣壓力的幾種單位，及這些單位間的換算過程。</w:t>
            </w:r>
          </w:p>
          <w:p w14:paraId="54E87F8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由圖觀察得知，海平面的空氣柱較高山上的長，所以高山的大氣壓力比平地小，所以托里切利實驗移到高山上實驗時，支撐的水銀柱會降低。</w:t>
            </w:r>
          </w:p>
          <w:p w14:paraId="7672838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有時壓力的變化也會造成人體不適或病痛，例如高山症或潛水夫病。教師可引導學生查詢相關資訊，或請有親身經歷的學生分享經驗，以增加課程的生活化及學習興趣。</w:t>
            </w:r>
          </w:p>
          <w:p w14:paraId="222C2E6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複習二上第二章的探索活動，並評量學生是否能知道密閉容器中氣體的壓力與氣體體積有關。</w:t>
            </w:r>
          </w:p>
          <w:p w14:paraId="13FC076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了解生活中與密閉容器內的氣體壓力有關的現象。</w:t>
            </w:r>
          </w:p>
          <w:p w14:paraId="46B4847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舉例說明日常生活中常見的大氣壓力運用或現象，例如用吸管吸飲料、用塑膠吸盤吊掛物品和用吸塵器除去灰塵等，坊間亦有一些軟塑膠材質的貼紙，不須使用黏膠，即可貼在光滑牆面或鏡面上，也是大氣壓力的運用。</w:t>
            </w:r>
          </w:p>
          <w:p w14:paraId="164A636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可請學生觀察身邊還有哪些現象或應用與壓力相關，並回顧「自然暖身操」的提問，請學生回答。</w:t>
            </w:r>
          </w:p>
        </w:tc>
        <w:tc>
          <w:tcPr>
            <w:tcW w:w="567" w:type="dxa"/>
          </w:tcPr>
          <w:p w14:paraId="3ED3692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w:t>
            </w:r>
          </w:p>
        </w:tc>
        <w:tc>
          <w:tcPr>
            <w:tcW w:w="850" w:type="dxa"/>
          </w:tcPr>
          <w:p w14:paraId="4F7548F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海綿。</w:t>
            </w:r>
          </w:p>
          <w:p w14:paraId="617C2E9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玻璃瓶。</w:t>
            </w:r>
          </w:p>
          <w:p w14:paraId="741496B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空塑膠瓶。</w:t>
            </w:r>
          </w:p>
          <w:p w14:paraId="54E7FE3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4. </w:t>
            </w:r>
            <w:r w:rsidRPr="00CA5264">
              <w:rPr>
                <w:rFonts w:asciiTheme="minorEastAsia" w:hAnsiTheme="minorEastAsia" w:hint="eastAsia"/>
                <w:sz w:val="16"/>
                <w:szCs w:val="16"/>
              </w:rPr>
              <w:t>水桶或水槽。</w:t>
            </w:r>
          </w:p>
          <w:p w14:paraId="630F91B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實驗所需器材。</w:t>
            </w:r>
          </w:p>
          <w:p w14:paraId="6755F33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w:t>
            </w:r>
            <w:r w:rsidRPr="00CA5264">
              <w:rPr>
                <w:rFonts w:asciiTheme="minorEastAsia" w:hAnsiTheme="minorEastAsia"/>
                <w:sz w:val="16"/>
                <w:szCs w:val="16"/>
              </w:rPr>
              <w:t xml:space="preserve">. </w:t>
            </w:r>
            <w:r w:rsidRPr="00CA5264">
              <w:rPr>
                <w:rFonts w:asciiTheme="minorEastAsia" w:hAnsiTheme="minorEastAsia" w:hint="eastAsia"/>
                <w:sz w:val="16"/>
                <w:szCs w:val="16"/>
              </w:rPr>
              <w:t>連通管。</w:t>
            </w:r>
          </w:p>
          <w:p w14:paraId="6761829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各式氣壓計圖片。</w:t>
            </w:r>
          </w:p>
          <w:p w14:paraId="22DBB85E"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塑膠小吸盤2個</w:t>
            </w:r>
          </w:p>
        </w:tc>
        <w:tc>
          <w:tcPr>
            <w:tcW w:w="709" w:type="dxa"/>
          </w:tcPr>
          <w:p w14:paraId="623CBBF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口頭評量</w:t>
            </w:r>
          </w:p>
          <w:p w14:paraId="4F051B4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實作評量</w:t>
            </w:r>
          </w:p>
          <w:p w14:paraId="11F42D0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紙筆評量</w:t>
            </w:r>
          </w:p>
        </w:tc>
        <w:tc>
          <w:tcPr>
            <w:tcW w:w="709" w:type="dxa"/>
          </w:tcPr>
          <w:p w14:paraId="5F6FAB19"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5A03C435"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5D8B1532"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3BB9073D"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44579477"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6EE762E2"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3DC96725"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7286D7C5"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3A109EE5"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2AAC9A9F"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2721A264" w14:textId="77777777" w:rsidTr="00ED18E0">
        <w:tc>
          <w:tcPr>
            <w:tcW w:w="539" w:type="dxa"/>
          </w:tcPr>
          <w:p w14:paraId="3E924629"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十八</w:t>
            </w:r>
          </w:p>
        </w:tc>
        <w:tc>
          <w:tcPr>
            <w:tcW w:w="709" w:type="dxa"/>
          </w:tcPr>
          <w:p w14:paraId="0C9A6AB7"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6/14-6/18</w:t>
            </w:r>
          </w:p>
        </w:tc>
        <w:tc>
          <w:tcPr>
            <w:tcW w:w="709" w:type="dxa"/>
          </w:tcPr>
          <w:p w14:paraId="1AFC9D77"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第6章力與壓力</w:t>
            </w:r>
          </w:p>
        </w:tc>
        <w:tc>
          <w:tcPr>
            <w:tcW w:w="709" w:type="dxa"/>
          </w:tcPr>
          <w:p w14:paraId="68318D6F"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6．4浮力</w:t>
            </w:r>
          </w:p>
        </w:tc>
        <w:tc>
          <w:tcPr>
            <w:tcW w:w="708" w:type="dxa"/>
          </w:tcPr>
          <w:p w14:paraId="500BC5CC"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6EB0013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712BA09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31BC228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1984BFDA"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14C0D3E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448D35BB"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C2:人際關係與團隊合作</w:t>
            </w:r>
          </w:p>
          <w:p w14:paraId="78531C59"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2773853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15CB0EDD"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A05F360"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4156817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EB19909"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6E48A9D6"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74A8601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7A7B3B2D"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649A320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0A7EC43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-2:能辨別適合科學探究或適合以科學方式尋求解決的問題（或假說），並能依據觀察、蒐集資料、閱讀、思考、討論等，提出適宜探究之問題。</w:t>
            </w:r>
          </w:p>
          <w:p w14:paraId="3C3A1AE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-1:能辨明多個自變項、應變項並計劃適當次數的測試、預測活動的可能結果。在教師或教科書的指導或說明下，能了解探究的計畫，並進而能根據問題特性、資源（</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設備、時間）等因素，規劃具有可信度（</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多次測量等）的探究活動。</w:t>
            </w:r>
          </w:p>
          <w:p w14:paraId="1C267D6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0BA6042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w:t>
            </w:r>
            <w:r w:rsidRPr="00CA5264">
              <w:rPr>
                <w:rFonts w:asciiTheme="minorEastAsia" w:hAnsiTheme="minorEastAsia" w:hint="eastAsia"/>
                <w:sz w:val="16"/>
                <w:szCs w:val="16"/>
              </w:rPr>
              <w:t>:</w:t>
            </w:r>
            <w:r w:rsidRPr="00CA5264">
              <w:rPr>
                <w:rFonts w:asciiTheme="minorEastAsia" w:hAnsiTheme="minorEastAsia"/>
                <w:sz w:val="16"/>
                <w:szCs w:val="16"/>
              </w:rPr>
              <w:t>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7AFA324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p w14:paraId="6B68573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-2:透過與同儕的討論，分享科學發現的樂趣。</w:t>
            </w:r>
          </w:p>
          <w:p w14:paraId="1CE5B4A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p w14:paraId="3350AAB6"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an-</w:t>
            </w:r>
            <w:r w:rsidRPr="00CA5264">
              <w:rPr>
                <w:rFonts w:asciiTheme="minorEastAsia" w:hAnsiTheme="minorEastAsia" w:hint="eastAsia"/>
                <w:sz w:val="16"/>
                <w:szCs w:val="16"/>
              </w:rPr>
              <w:t>Ⅳ</w:t>
            </w:r>
            <w:r w:rsidRPr="00CA5264">
              <w:rPr>
                <w:rFonts w:asciiTheme="minorEastAsia" w:hAnsiTheme="minorEastAsia"/>
                <w:sz w:val="16"/>
                <w:szCs w:val="16"/>
              </w:rPr>
              <w:t>-3:體察到</w:t>
            </w:r>
            <w:r w:rsidRPr="00CA5264">
              <w:rPr>
                <w:rFonts w:asciiTheme="minorEastAsia" w:hAnsiTheme="minorEastAsia" w:hint="eastAsia"/>
                <w:sz w:val="16"/>
                <w:szCs w:val="16"/>
              </w:rPr>
              <w:t>不同性別、背景、族群</w:t>
            </w:r>
            <w:r w:rsidRPr="00CA5264">
              <w:rPr>
                <w:rFonts w:asciiTheme="minorEastAsia" w:hAnsiTheme="minorEastAsia"/>
                <w:sz w:val="16"/>
                <w:szCs w:val="16"/>
              </w:rPr>
              <w:t>科學家們具有堅毅、嚴謹和講求邏輯的特質，也具有好奇心、求知慾和想像力。</w:t>
            </w:r>
          </w:p>
        </w:tc>
        <w:tc>
          <w:tcPr>
            <w:tcW w:w="1101" w:type="dxa"/>
          </w:tcPr>
          <w:p w14:paraId="38B1D080"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-6:物體在靜止液體中所受浮力，等於排開液體的重量。</w:t>
            </w:r>
          </w:p>
        </w:tc>
        <w:tc>
          <w:tcPr>
            <w:tcW w:w="1171" w:type="dxa"/>
          </w:tcPr>
          <w:p w14:paraId="189883D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透過活動發現生活中的浮力現象。</w:t>
            </w:r>
          </w:p>
          <w:p w14:paraId="2E0576B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了解浮力即為物體在液體中所減輕的重量，及其重量減輕的原因。</w:t>
            </w:r>
          </w:p>
          <w:p w14:paraId="22A80E2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了解浮力對物體的影響，以及影響浮力大小的因素。</w:t>
            </w:r>
          </w:p>
          <w:p w14:paraId="243355B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透過實驗，驗證阿基米德原理。</w:t>
            </w:r>
          </w:p>
          <w:p w14:paraId="606D2B9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5. </w:t>
            </w:r>
            <w:r w:rsidRPr="00CA5264">
              <w:rPr>
                <w:rFonts w:asciiTheme="minorEastAsia" w:hAnsiTheme="minorEastAsia" w:hint="eastAsia"/>
                <w:sz w:val="16"/>
                <w:szCs w:val="16"/>
              </w:rPr>
              <w:t>了解物體在靜止液體中所受的浮力，等於所排開液體的重量。。</w:t>
            </w:r>
          </w:p>
          <w:p w14:paraId="572F452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知道沉體的浮力與物體沉入液體中的深度無關。</w:t>
            </w:r>
          </w:p>
          <w:p w14:paraId="4B7DEE6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知道密度小的物體在密度大的流體中會浮起來；密度大的物體在密度小的流體中會沉下去。</w:t>
            </w:r>
          </w:p>
        </w:tc>
        <w:tc>
          <w:tcPr>
            <w:tcW w:w="2973" w:type="dxa"/>
            <w:shd w:val="clear" w:color="auto" w:fill="auto"/>
          </w:tcPr>
          <w:p w14:paraId="3930709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以「自然暖身操」為例，藉由學習游泳的情境，引入浮力的概念，並思考影響浮力大小與物體浮沉的因素。</w:t>
            </w:r>
          </w:p>
          <w:p w14:paraId="125D068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藉由課本圖片向學生說明：物體在液體中的重量會比在空氣中輕，再引入浮力的作用及浮力的方向，最後以提問的方式，了解學生是否知道當物體沒入液體中時，液體會給予物體一個向上的作用力，抵消物體部分的重量，使物體在液體中的重量比在空氣中輕。</w:t>
            </w:r>
          </w:p>
          <w:p w14:paraId="15D084E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 說明阿基米德原理及實驗操作方式。</w:t>
            </w:r>
          </w:p>
          <w:p w14:paraId="7B8717D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 說明實驗的操作步驟，及所需記錄的各項數據，觀察並記錄學生能否按步驟正確操作。</w:t>
            </w:r>
          </w:p>
          <w:p w14:paraId="08AA53F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 由步驟1到步驟2：使學生知道，物體在液體中的重量會減輕，其減輕的重量即為物體在液體中所受的浮力。</w:t>
            </w:r>
          </w:p>
          <w:p w14:paraId="09651CC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6. 由步驟2說明：圓筒內金屬圓柱所排開的水重等於物體在液體中所受的浮力。</w:t>
            </w:r>
          </w:p>
          <w:p w14:paraId="070EC30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 由步驟2到步驟3：使學生知道，當物體沒入液體中的體積越多，所受的浮力越大。</w:t>
            </w:r>
          </w:p>
          <w:p w14:paraId="5C5CEC9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8. 說明步驟4，把金屬圓柱沉入較深的水中，所受浮力不變，即沉體所受的浮力與物體沉入水中的深度無關。</w:t>
            </w:r>
          </w:p>
          <w:p w14:paraId="73ED18C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 請學生將實驗數據記錄於活動紀錄簿中，並分組討論問題，可評量學生能否正確說明物體在水中所減輕的重量等於其所排開的水重。</w:t>
            </w:r>
          </w:p>
          <w:p w14:paraId="69DD2FE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10. 利用實驗結果說明阿基米德原理，並說明浮力的計算方式。</w:t>
            </w:r>
          </w:p>
          <w:p w14:paraId="6584DE5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11. 藉由探索活動，觀察水果在水中的浮沉，引入物體的密度與其浮沉的關係。</w:t>
            </w:r>
          </w:p>
          <w:p w14:paraId="35523C0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12. 說明當物體的密度大於液體時，物體會完全沒入液體中；反之，當物體的密度小於液體時，物體會漂浮在液面上。</w:t>
            </w:r>
          </w:p>
          <w:p w14:paraId="2ED651AE" w14:textId="77777777" w:rsidR="00766369" w:rsidRPr="0052708D" w:rsidRDefault="00766369" w:rsidP="00F55A1B">
            <w:pPr>
              <w:snapToGrid w:val="0"/>
              <w:jc w:val="both"/>
              <w:rPr>
                <w:rFonts w:asciiTheme="minorEastAsia" w:hAnsiTheme="minorEastAsia"/>
                <w:sz w:val="16"/>
                <w:szCs w:val="16"/>
              </w:rPr>
            </w:pPr>
          </w:p>
        </w:tc>
        <w:tc>
          <w:tcPr>
            <w:tcW w:w="567" w:type="dxa"/>
          </w:tcPr>
          <w:p w14:paraId="6F085853"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w:t>
            </w:r>
          </w:p>
        </w:tc>
        <w:tc>
          <w:tcPr>
            <w:tcW w:w="850" w:type="dxa"/>
          </w:tcPr>
          <w:p w14:paraId="2E31595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實驗器材。</w:t>
            </w:r>
          </w:p>
          <w:p w14:paraId="363E56AC"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2. 密度不同之物體。</w:t>
            </w:r>
          </w:p>
        </w:tc>
        <w:tc>
          <w:tcPr>
            <w:tcW w:w="709" w:type="dxa"/>
          </w:tcPr>
          <w:p w14:paraId="108FD11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口頭評量</w:t>
            </w:r>
          </w:p>
          <w:p w14:paraId="78541EB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實作評量</w:t>
            </w:r>
          </w:p>
          <w:p w14:paraId="4E2B2C65"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紙筆評量</w:t>
            </w:r>
          </w:p>
        </w:tc>
        <w:tc>
          <w:tcPr>
            <w:tcW w:w="709" w:type="dxa"/>
          </w:tcPr>
          <w:p w14:paraId="6952F754"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2EE74D26"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7A877967"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3A495303"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2A0277D4"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3BBBBC69"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2C37CB0F"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7375B9CA"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06657532"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7D4DA78C"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4F37AE84" w14:textId="77777777" w:rsidTr="00ED18E0">
        <w:tc>
          <w:tcPr>
            <w:tcW w:w="539" w:type="dxa"/>
          </w:tcPr>
          <w:p w14:paraId="505FABF8"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十九</w:t>
            </w:r>
          </w:p>
        </w:tc>
        <w:tc>
          <w:tcPr>
            <w:tcW w:w="709" w:type="dxa"/>
          </w:tcPr>
          <w:p w14:paraId="01553A8A"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6/21-6/25</w:t>
            </w:r>
          </w:p>
        </w:tc>
        <w:tc>
          <w:tcPr>
            <w:tcW w:w="709" w:type="dxa"/>
          </w:tcPr>
          <w:p w14:paraId="3DB373C2" w14:textId="77777777" w:rsidR="00766369" w:rsidRPr="00357257" w:rsidRDefault="00766369" w:rsidP="00F55A1B">
            <w:pPr>
              <w:topLinePunct/>
              <w:adjustRightInd w:val="0"/>
              <w:snapToGrid w:val="0"/>
              <w:rPr>
                <w:rFonts w:ascii="新細明體" w:hAnsi="新細明體"/>
                <w:sz w:val="16"/>
                <w:szCs w:val="16"/>
              </w:rPr>
            </w:pPr>
            <w:r w:rsidRPr="00357257">
              <w:rPr>
                <w:rFonts w:ascii="新細明體" w:hAnsi="新細明體" w:hint="eastAsia"/>
                <w:sz w:val="16"/>
                <w:szCs w:val="16"/>
              </w:rPr>
              <w:t>第6章力與壓力</w:t>
            </w:r>
          </w:p>
        </w:tc>
        <w:tc>
          <w:tcPr>
            <w:tcW w:w="709" w:type="dxa"/>
          </w:tcPr>
          <w:p w14:paraId="286CB917"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6．4浮力</w:t>
            </w:r>
          </w:p>
          <w:p w14:paraId="6E055D9A"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【第二次評量週】</w:t>
            </w:r>
          </w:p>
        </w:tc>
        <w:tc>
          <w:tcPr>
            <w:tcW w:w="708" w:type="dxa"/>
          </w:tcPr>
          <w:p w14:paraId="5EE4CA44"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A1:身心素質與自我精進</w:t>
            </w:r>
          </w:p>
          <w:p w14:paraId="0A306D2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A2:系統思考與解決問題</w:t>
            </w:r>
          </w:p>
          <w:p w14:paraId="7ED7E12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A3:規劃執行與創新應變</w:t>
            </w:r>
          </w:p>
          <w:p w14:paraId="3AE4B423"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B1:符號運用與溝通表達</w:t>
            </w:r>
          </w:p>
          <w:p w14:paraId="72DF7402"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B2:科技資訊與媒體素養</w:t>
            </w:r>
          </w:p>
          <w:p w14:paraId="01727401"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C1:道德實踐與公民意識</w:t>
            </w:r>
          </w:p>
          <w:p w14:paraId="1ED906D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C2:人際關係與團隊合作</w:t>
            </w:r>
          </w:p>
          <w:p w14:paraId="06E7E343"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C3:多元文化與國際理解</w:t>
            </w:r>
          </w:p>
        </w:tc>
        <w:tc>
          <w:tcPr>
            <w:tcW w:w="1737" w:type="dxa"/>
          </w:tcPr>
          <w:p w14:paraId="0906441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自-J-A1:能應用科學知識、方法與態度於日常生活當中。</w:t>
            </w:r>
          </w:p>
          <w:p w14:paraId="506DFD4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69A7EB9"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0FFC4CFC"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5D2227DA"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025FBAE7"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自-J-C1:從日常學習中，主動關心自然環境相關公共議題，尊重生命。</w:t>
            </w:r>
          </w:p>
          <w:p w14:paraId="2D91E831" w14:textId="77777777" w:rsidR="00766369" w:rsidRPr="00CA5264" w:rsidRDefault="00766369" w:rsidP="00F55A1B">
            <w:pPr>
              <w:pStyle w:val="Default"/>
              <w:snapToGrid w:val="0"/>
              <w:rPr>
                <w:rFonts w:ascii="新細明體" w:eastAsia="新細明體" w:hAnsi="新細明體"/>
                <w:snapToGrid w:val="0"/>
                <w:sz w:val="16"/>
                <w:szCs w:val="16"/>
              </w:rPr>
            </w:pPr>
            <w:r w:rsidRPr="00CA5264">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51856317"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240" w:type="dxa"/>
          </w:tcPr>
          <w:p w14:paraId="0537382F"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tr-</w:t>
            </w:r>
            <w:r w:rsidRPr="00CA5264">
              <w:rPr>
                <w:rFonts w:asciiTheme="minorEastAsia" w:hAnsiTheme="minorEastAsia" w:hint="eastAsia"/>
                <w:sz w:val="16"/>
                <w:szCs w:val="16"/>
              </w:rPr>
              <w:t>Ⅳ</w:t>
            </w:r>
            <w:r w:rsidRPr="00CA5264">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327319D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po-</w:t>
            </w:r>
            <w:r w:rsidRPr="00CA5264">
              <w:rPr>
                <w:rFonts w:asciiTheme="minorEastAsia" w:hAnsiTheme="minorEastAsia" w:hint="eastAsia"/>
                <w:sz w:val="16"/>
                <w:szCs w:val="16"/>
              </w:rPr>
              <w:t>Ⅳ</w:t>
            </w:r>
            <w:r w:rsidRPr="00CA5264">
              <w:rPr>
                <w:rFonts w:asciiTheme="minorEastAsia" w:hAnsiTheme="minorEastAsia"/>
                <w:sz w:val="16"/>
                <w:szCs w:val="16"/>
              </w:rPr>
              <w:t>-2:能辨別適合科學探究或適合以科學方式尋求解決的問題（或假說），並能依據觀察、蒐集資料、閱讀、思考、討論等，提出適宜探究之問題。</w:t>
            </w:r>
          </w:p>
          <w:p w14:paraId="04B36B3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-1:能辨明多個自變項、應變項並計劃適當次數的測試、預測活動的可能結果。在教師或教科書的指導或說明下，能了解探究的計畫，並進而能根據問題特性、資源（</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設備、時間）等因素，規劃具有可信度（</w:t>
            </w:r>
            <w:r w:rsidRPr="00CA5264">
              <w:rPr>
                <w:rFonts w:asciiTheme="minorEastAsia" w:hAnsiTheme="minorEastAsia" w:hint="eastAsia"/>
                <w:sz w:val="16"/>
                <w:szCs w:val="16"/>
              </w:rPr>
              <w:t>例</w:t>
            </w:r>
            <w:r w:rsidRPr="00CA5264">
              <w:rPr>
                <w:rFonts w:asciiTheme="minorEastAsia" w:hAnsiTheme="minorEastAsia"/>
                <w:sz w:val="16"/>
                <w:szCs w:val="16"/>
              </w:rPr>
              <w:t>如</w:t>
            </w:r>
            <w:r w:rsidRPr="00CA5264">
              <w:rPr>
                <w:rFonts w:asciiTheme="minorEastAsia" w:hAnsiTheme="minorEastAsia" w:hint="eastAsia"/>
                <w:sz w:val="16"/>
                <w:szCs w:val="16"/>
              </w:rPr>
              <w:t>：</w:t>
            </w:r>
            <w:r w:rsidRPr="00CA5264">
              <w:rPr>
                <w:rFonts w:asciiTheme="minorEastAsia" w:hAnsiTheme="minorEastAsia"/>
                <w:sz w:val="16"/>
                <w:szCs w:val="16"/>
              </w:rPr>
              <w:t>多次測量等）的探究活動。</w:t>
            </w:r>
          </w:p>
          <w:p w14:paraId="72248DC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pe-</w:t>
            </w:r>
            <w:r w:rsidRPr="00CA5264">
              <w:rPr>
                <w:rFonts w:asciiTheme="minorEastAsia" w:hAnsiTheme="minorEastAsia" w:hint="eastAsia"/>
                <w:sz w:val="16"/>
                <w:szCs w:val="16"/>
              </w:rPr>
              <w:t>Ⅳ</w:t>
            </w:r>
            <w:r w:rsidRPr="00CA5264">
              <w:rPr>
                <w:rFonts w:asciiTheme="minorEastAsia" w:hAnsiTheme="minorEastAsia"/>
                <w:sz w:val="16"/>
                <w:szCs w:val="16"/>
              </w:rPr>
              <w:t>-2:能正確安全操作適合學習階段的物品、器材儀器、科技設備</w:t>
            </w:r>
            <w:r w:rsidRPr="00CA5264">
              <w:rPr>
                <w:rFonts w:asciiTheme="minorEastAsia" w:hAnsiTheme="minorEastAsia" w:hint="eastAsia"/>
                <w:sz w:val="16"/>
                <w:szCs w:val="16"/>
              </w:rPr>
              <w:t>及</w:t>
            </w:r>
            <w:r w:rsidRPr="00CA5264">
              <w:rPr>
                <w:rFonts w:asciiTheme="minorEastAsia" w:hAnsiTheme="minorEastAsia"/>
                <w:sz w:val="16"/>
                <w:szCs w:val="16"/>
              </w:rPr>
              <w:t>資源。能進行客觀的質性觀</w:t>
            </w:r>
            <w:r w:rsidRPr="00CA5264">
              <w:rPr>
                <w:rFonts w:asciiTheme="minorEastAsia" w:hAnsiTheme="minorEastAsia" w:hint="eastAsia"/>
                <w:sz w:val="16"/>
                <w:szCs w:val="16"/>
              </w:rPr>
              <w:t>察</w:t>
            </w:r>
            <w:r w:rsidRPr="00CA5264">
              <w:rPr>
                <w:rFonts w:asciiTheme="minorEastAsia" w:hAnsiTheme="minorEastAsia"/>
                <w:sz w:val="16"/>
                <w:szCs w:val="16"/>
              </w:rPr>
              <w:t>或數值量測並詳實記錄。</w:t>
            </w:r>
          </w:p>
          <w:p w14:paraId="7F5F9D4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pa-</w:t>
            </w:r>
            <w:r w:rsidRPr="00CA5264">
              <w:rPr>
                <w:rFonts w:asciiTheme="minorEastAsia" w:hAnsiTheme="minorEastAsia" w:hint="eastAsia"/>
                <w:sz w:val="16"/>
                <w:szCs w:val="16"/>
              </w:rPr>
              <w:t>Ⅳ</w:t>
            </w:r>
            <w:r w:rsidRPr="00CA5264">
              <w:rPr>
                <w:rFonts w:asciiTheme="minorEastAsia" w:hAnsiTheme="minorEastAsia"/>
                <w:sz w:val="16"/>
                <w:szCs w:val="16"/>
              </w:rPr>
              <w:t>-2</w:t>
            </w:r>
            <w:r w:rsidRPr="00CA5264">
              <w:rPr>
                <w:rFonts w:asciiTheme="minorEastAsia" w:hAnsiTheme="minorEastAsia" w:hint="eastAsia"/>
                <w:sz w:val="16"/>
                <w:szCs w:val="16"/>
              </w:rPr>
              <w:t>:</w:t>
            </w:r>
            <w:r w:rsidRPr="00CA5264">
              <w:rPr>
                <w:rFonts w:asciiTheme="minorEastAsia" w:hAnsiTheme="minorEastAsia"/>
                <w:sz w:val="16"/>
                <w:szCs w:val="16"/>
              </w:rPr>
              <w:t>能運用科學原理、思考智能、數學等方法，從（所得的）資訊或數據，形成解釋、發現新知、獲知因果關係、解決問題或是發現新的問題。並能將自己的探究結果和同學的結果或其</w:t>
            </w:r>
            <w:r w:rsidRPr="00CA5264">
              <w:rPr>
                <w:rFonts w:asciiTheme="minorEastAsia" w:hAnsiTheme="minorEastAsia" w:hint="eastAsia"/>
                <w:sz w:val="16"/>
                <w:szCs w:val="16"/>
              </w:rPr>
              <w:t>他</w:t>
            </w:r>
            <w:r w:rsidRPr="00CA5264">
              <w:rPr>
                <w:rFonts w:asciiTheme="minorEastAsia" w:hAnsiTheme="minorEastAsia"/>
                <w:sz w:val="16"/>
                <w:szCs w:val="16"/>
              </w:rPr>
              <w:t>相關的資訊比較對照，相互檢核，確認結果。</w:t>
            </w:r>
          </w:p>
          <w:p w14:paraId="1221770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-1:動手實作解決問題或驗證自己想法，而獲得成就感。</w:t>
            </w:r>
          </w:p>
          <w:p w14:paraId="28E0E18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-2:透過與同儕的討論，分享科學發現的樂趣。</w:t>
            </w:r>
          </w:p>
          <w:p w14:paraId="5637B2A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ai-</w:t>
            </w:r>
            <w:r w:rsidRPr="00CA5264">
              <w:rPr>
                <w:rFonts w:asciiTheme="minorEastAsia" w:hAnsiTheme="minorEastAsia" w:hint="eastAsia"/>
                <w:sz w:val="16"/>
                <w:szCs w:val="16"/>
              </w:rPr>
              <w:t>Ⅳ</w:t>
            </w:r>
            <w:r w:rsidRPr="00CA5264">
              <w:rPr>
                <w:rFonts w:asciiTheme="minorEastAsia" w:hAnsiTheme="minorEastAsia"/>
                <w:sz w:val="16"/>
                <w:szCs w:val="16"/>
              </w:rPr>
              <w:t>-3:透過所學到的科學知識和科學探索的各種方法，解釋自然現象發生的原因，建立科學學習的自信心。</w:t>
            </w:r>
          </w:p>
          <w:p w14:paraId="31CEAC7B"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an-</w:t>
            </w:r>
            <w:r w:rsidRPr="00CA5264">
              <w:rPr>
                <w:rFonts w:asciiTheme="minorEastAsia" w:hAnsiTheme="minorEastAsia" w:hint="eastAsia"/>
                <w:sz w:val="16"/>
                <w:szCs w:val="16"/>
              </w:rPr>
              <w:t>Ⅳ</w:t>
            </w:r>
            <w:r w:rsidRPr="00CA5264">
              <w:rPr>
                <w:rFonts w:asciiTheme="minorEastAsia" w:hAnsiTheme="minorEastAsia"/>
                <w:sz w:val="16"/>
                <w:szCs w:val="16"/>
              </w:rPr>
              <w:t>-3:體察到</w:t>
            </w:r>
            <w:r w:rsidRPr="00CA5264">
              <w:rPr>
                <w:rFonts w:asciiTheme="minorEastAsia" w:hAnsiTheme="minorEastAsia" w:hint="eastAsia"/>
                <w:sz w:val="16"/>
                <w:szCs w:val="16"/>
              </w:rPr>
              <w:t>不同性別、背景、族群</w:t>
            </w:r>
            <w:r w:rsidRPr="00CA5264">
              <w:rPr>
                <w:rFonts w:asciiTheme="minorEastAsia" w:hAnsiTheme="minorEastAsia"/>
                <w:sz w:val="16"/>
                <w:szCs w:val="16"/>
              </w:rPr>
              <w:t>科學家們具有堅毅、嚴謹和講求邏輯的特質，也具有好奇心、求知慾和想像力。</w:t>
            </w:r>
          </w:p>
        </w:tc>
        <w:tc>
          <w:tcPr>
            <w:tcW w:w="1101" w:type="dxa"/>
          </w:tcPr>
          <w:p w14:paraId="60BBBA6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Eb-</w:t>
            </w:r>
            <w:r w:rsidRPr="00CA5264">
              <w:rPr>
                <w:rFonts w:asciiTheme="minorEastAsia" w:hAnsiTheme="minorEastAsia" w:hint="eastAsia"/>
                <w:sz w:val="16"/>
                <w:szCs w:val="16"/>
              </w:rPr>
              <w:t>Ⅳ</w:t>
            </w:r>
            <w:r w:rsidRPr="00CA5264">
              <w:rPr>
                <w:rFonts w:asciiTheme="minorEastAsia" w:hAnsiTheme="minorEastAsia"/>
                <w:sz w:val="16"/>
                <w:szCs w:val="16"/>
              </w:rPr>
              <w:t>-6:物體在靜止液體中所受浮力，等於排開液體的重量。</w:t>
            </w:r>
          </w:p>
        </w:tc>
        <w:tc>
          <w:tcPr>
            <w:tcW w:w="1171" w:type="dxa"/>
          </w:tcPr>
          <w:p w14:paraId="1CEB0BD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w:t>
            </w:r>
            <w:r w:rsidRPr="00CA5264">
              <w:rPr>
                <w:rFonts w:asciiTheme="minorEastAsia" w:hAnsiTheme="minorEastAsia" w:hint="eastAsia"/>
                <w:sz w:val="16"/>
                <w:szCs w:val="16"/>
              </w:rPr>
              <w:t>. 了解浮體的浮力等於物體本身的重量。</w:t>
            </w:r>
          </w:p>
          <w:p w14:paraId="0030F0D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2</w:t>
            </w:r>
            <w:r w:rsidRPr="00CA5264">
              <w:rPr>
                <w:rFonts w:asciiTheme="minorEastAsia" w:hAnsiTheme="minorEastAsia" w:hint="eastAsia"/>
                <w:sz w:val="16"/>
                <w:szCs w:val="16"/>
              </w:rPr>
              <w:t>. 了解沉體的浮力等於所排開的液體重，且小於物體本身的重量。</w:t>
            </w:r>
          </w:p>
          <w:p w14:paraId="709476D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3</w:t>
            </w:r>
            <w:r w:rsidRPr="00CA5264">
              <w:rPr>
                <w:rFonts w:asciiTheme="minorEastAsia" w:hAnsiTheme="minorEastAsia" w:hint="eastAsia"/>
                <w:sz w:val="16"/>
                <w:szCs w:val="16"/>
              </w:rPr>
              <w:t>. 知道浮力在生活中的應用。</w:t>
            </w:r>
          </w:p>
          <w:p w14:paraId="0AA0174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知道飛船和熱氣球的原理，氣體也會產生浮力。</w:t>
            </w:r>
          </w:p>
        </w:tc>
        <w:tc>
          <w:tcPr>
            <w:tcW w:w="2973" w:type="dxa"/>
            <w:shd w:val="clear" w:color="auto" w:fill="auto"/>
          </w:tcPr>
          <w:p w14:paraId="3AAA131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請學生從密度的觀點，討論物體在液體中的浮沉現象。(1)液體的密度＜物體的密度：物體在液體中下沉。(2)液體的密度＝物體的密度：物體可靜止在液體中。(3)液體的密度＞物體的密度：物體浮出液面。</w:t>
            </w:r>
          </w:p>
          <w:p w14:paraId="29AAABA7"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2</w:t>
            </w:r>
            <w:r w:rsidRPr="00CA5264">
              <w:rPr>
                <w:rFonts w:asciiTheme="minorEastAsia" w:hAnsiTheme="minorEastAsia" w:hint="eastAsia"/>
                <w:sz w:val="16"/>
                <w:szCs w:val="16"/>
              </w:rPr>
              <w:t>. 利用阿基米德原理解釋沉體下沉的原因。</w:t>
            </w:r>
          </w:p>
          <w:p w14:paraId="1387E0C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3</w:t>
            </w:r>
            <w:r w:rsidRPr="00CA5264">
              <w:rPr>
                <w:rFonts w:asciiTheme="minorEastAsia" w:hAnsiTheme="minorEastAsia" w:hint="eastAsia"/>
                <w:sz w:val="16"/>
                <w:szCs w:val="16"/>
              </w:rPr>
              <w:t>. 利用兩力平衡的條件，說明浮體所受的浮力等於物體本身的重量。</w:t>
            </w:r>
          </w:p>
          <w:p w14:paraId="5EC764E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4</w:t>
            </w:r>
            <w:r w:rsidRPr="00CA5264">
              <w:rPr>
                <w:rFonts w:asciiTheme="minorEastAsia" w:hAnsiTheme="minorEastAsia" w:hint="eastAsia"/>
                <w:sz w:val="16"/>
                <w:szCs w:val="16"/>
              </w:rPr>
              <w:t>. 可搭配探究活動，藉由白板筆跡浮出水面，了解浮力原理，並回顧第5章有機化合物的性質。</w:t>
            </w:r>
          </w:p>
          <w:p w14:paraId="22778CC6"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5</w:t>
            </w:r>
            <w:r w:rsidRPr="00CA5264">
              <w:rPr>
                <w:rFonts w:asciiTheme="minorEastAsia" w:hAnsiTheme="minorEastAsia" w:hint="eastAsia"/>
                <w:sz w:val="16"/>
                <w:szCs w:val="16"/>
              </w:rPr>
              <w:t>. 以例題評量學生是否能應用浮力原理於生活中。另外可搭配探究活動，利用浮力原理實際做出分層飲料。</w:t>
            </w:r>
          </w:p>
          <w:p w14:paraId="5F60560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6</w:t>
            </w:r>
            <w:r w:rsidRPr="00CA5264">
              <w:rPr>
                <w:rFonts w:asciiTheme="minorEastAsia" w:hAnsiTheme="minorEastAsia" w:hint="eastAsia"/>
                <w:sz w:val="16"/>
                <w:szCs w:val="16"/>
              </w:rPr>
              <w:t>. 說明以鋼鐵打造的船可以浮在水面上而不下沉，是因為船受到向下的重力，與向上的浮力達成平衡，所以船會浮在水面上。</w:t>
            </w:r>
          </w:p>
          <w:p w14:paraId="0DD0488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7</w:t>
            </w:r>
            <w:r w:rsidRPr="00CA5264">
              <w:rPr>
                <w:rFonts w:asciiTheme="minorEastAsia" w:hAnsiTheme="minorEastAsia" w:hint="eastAsia"/>
                <w:sz w:val="16"/>
                <w:szCs w:val="16"/>
              </w:rPr>
              <w:t>. 說明魚類可以利用魚鰾的構造，改變身體的平均密度，在水中自由的浮沉。</w:t>
            </w:r>
          </w:p>
          <w:p w14:paraId="0A7BD0B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8</w:t>
            </w:r>
            <w:r w:rsidRPr="00CA5264">
              <w:rPr>
                <w:rFonts w:asciiTheme="minorEastAsia" w:hAnsiTheme="minorEastAsia" w:hint="eastAsia"/>
                <w:sz w:val="16"/>
                <w:szCs w:val="16"/>
              </w:rPr>
              <w:t>. 說明潛水艇可以利用特殊的裝置改變本身的平均密度，如此就可以在水中自由的浮沉。</w:t>
            </w:r>
          </w:p>
          <w:p w14:paraId="4B02DC9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9</w:t>
            </w:r>
            <w:r w:rsidRPr="00CA5264">
              <w:rPr>
                <w:rFonts w:asciiTheme="minorEastAsia" w:hAnsiTheme="minorEastAsia" w:hint="eastAsia"/>
                <w:sz w:val="16"/>
                <w:szCs w:val="16"/>
              </w:rPr>
              <w:t>. 利用飛船、熱氣球、天燈和探空儀等在空氣中飄升的現象，使學生了解物體在空氣中也會受到空氣的浮力作用。</w:t>
            </w:r>
          </w:p>
          <w:p w14:paraId="47D64E9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10</w:t>
            </w:r>
            <w:r w:rsidRPr="00CA5264">
              <w:rPr>
                <w:rFonts w:asciiTheme="minorEastAsia" w:hAnsiTheme="minorEastAsia" w:hint="eastAsia"/>
                <w:sz w:val="16"/>
                <w:szCs w:val="16"/>
              </w:rPr>
              <w:t>. 回顧浮力概念與物體在水中浮沉的原理，並連結「自然暖身操」的提問，請學生回答。</w:t>
            </w:r>
          </w:p>
        </w:tc>
        <w:tc>
          <w:tcPr>
            <w:tcW w:w="567" w:type="dxa"/>
          </w:tcPr>
          <w:p w14:paraId="03921C14"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3</w:t>
            </w:r>
          </w:p>
        </w:tc>
        <w:tc>
          <w:tcPr>
            <w:tcW w:w="850" w:type="dxa"/>
          </w:tcPr>
          <w:p w14:paraId="174BCC3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康軒版教科書。</w:t>
            </w:r>
          </w:p>
        </w:tc>
        <w:tc>
          <w:tcPr>
            <w:tcW w:w="709" w:type="dxa"/>
          </w:tcPr>
          <w:p w14:paraId="51E6F0A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口頭評量</w:t>
            </w:r>
          </w:p>
          <w:p w14:paraId="23AA8B1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實作評量</w:t>
            </w:r>
          </w:p>
          <w:p w14:paraId="60A5A33A"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紙筆評量</w:t>
            </w:r>
          </w:p>
        </w:tc>
        <w:tc>
          <w:tcPr>
            <w:tcW w:w="709" w:type="dxa"/>
          </w:tcPr>
          <w:p w14:paraId="4D73CDAC" w14:textId="77777777" w:rsidR="00766369" w:rsidRPr="00357257" w:rsidRDefault="00766369" w:rsidP="00F55A1B">
            <w:pPr>
              <w:topLinePunct/>
              <w:snapToGrid w:val="0"/>
              <w:jc w:val="both"/>
              <w:rPr>
                <w:rFonts w:ascii="新細明體" w:hAnsi="新細明體"/>
                <w:sz w:val="16"/>
                <w:szCs w:val="16"/>
              </w:rPr>
            </w:pPr>
            <w:r w:rsidRPr="00357257">
              <w:rPr>
                <w:rFonts w:ascii="新細明體" w:hAnsi="新細明體" w:hint="eastAsia"/>
                <w:sz w:val="16"/>
                <w:szCs w:val="16"/>
              </w:rPr>
              <w:t>【科技教育】</w:t>
            </w:r>
          </w:p>
          <w:p w14:paraId="6EA62502"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科E1</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了解平日常見科技產品的用途與運作方式。</w:t>
            </w:r>
          </w:p>
          <w:p w14:paraId="76E6C2A5"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科E2</w:t>
            </w:r>
            <w:r w:rsidRPr="00357257">
              <w:rPr>
                <w:rFonts w:ascii="新細明體" w:hAnsi="新細明體" w:cs="Times New Roman"/>
                <w:color w:val="auto"/>
                <w:kern w:val="2"/>
                <w:sz w:val="16"/>
                <w:szCs w:val="16"/>
              </w:rPr>
              <w:t>:</w:t>
            </w:r>
            <w:r w:rsidRPr="00357257">
              <w:rPr>
                <w:rFonts w:ascii="新細明體" w:hAnsi="新細明體" w:cs="Times New Roman" w:hint="eastAsia"/>
                <w:color w:val="auto"/>
                <w:kern w:val="2"/>
                <w:sz w:val="16"/>
                <w:szCs w:val="16"/>
              </w:rPr>
              <w:t>了解動手實作的重要性。</w:t>
            </w:r>
          </w:p>
          <w:p w14:paraId="0DC63D23" w14:textId="77777777" w:rsidR="00766369" w:rsidRPr="00357257" w:rsidRDefault="00766369" w:rsidP="00F55A1B">
            <w:pPr>
              <w:pStyle w:val="Default"/>
              <w:topLinePunct/>
              <w:autoSpaceDE/>
              <w:autoSpaceDN/>
              <w:snapToGrid w:val="0"/>
              <w:jc w:val="both"/>
              <w:rPr>
                <w:rFonts w:ascii="新細明體" w:hAnsi="新細明體"/>
                <w:sz w:val="16"/>
                <w:szCs w:val="16"/>
              </w:rPr>
            </w:pPr>
            <w:r w:rsidRPr="00357257">
              <w:rPr>
                <w:rFonts w:ascii="新細明體" w:hAnsi="新細明體" w:hint="eastAsia"/>
                <w:sz w:val="16"/>
                <w:szCs w:val="16"/>
              </w:rPr>
              <w:t>【海洋教育】</w:t>
            </w:r>
          </w:p>
          <w:p w14:paraId="092431AC"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海J13:探討海洋對陸上環境與生活的影響。</w:t>
            </w:r>
          </w:p>
          <w:p w14:paraId="4C9251AD" w14:textId="77777777" w:rsidR="00766369" w:rsidRPr="00357257" w:rsidRDefault="00766369" w:rsidP="00F55A1B">
            <w:pPr>
              <w:pStyle w:val="Default"/>
              <w:topLinePunct/>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海J15:探討船舶的種類、構造及原理。</w:t>
            </w:r>
          </w:p>
          <w:p w14:paraId="24542A8C"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海J17:了解海洋非生物資源之種類與應用。</w:t>
            </w:r>
          </w:p>
        </w:tc>
        <w:tc>
          <w:tcPr>
            <w:tcW w:w="850" w:type="dxa"/>
            <w:shd w:val="clear" w:color="auto" w:fill="auto"/>
          </w:tcPr>
          <w:p w14:paraId="4BF10863"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數學</w:t>
            </w:r>
          </w:p>
          <w:p w14:paraId="78DB9B66"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社會</w:t>
            </w:r>
          </w:p>
          <w:p w14:paraId="1BE5854D"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r w:rsidRPr="00357257">
              <w:rPr>
                <w:rFonts w:ascii="新細明體" w:hAnsi="新細明體" w:cs="Times New Roman" w:hint="eastAsia"/>
                <w:color w:val="auto"/>
                <w:kern w:val="2"/>
                <w:sz w:val="16"/>
                <w:szCs w:val="16"/>
              </w:rPr>
              <w:t>科技</w:t>
            </w:r>
          </w:p>
        </w:tc>
      </w:tr>
      <w:tr w:rsidR="00766369" w:rsidRPr="0052708D" w14:paraId="1C8C0982" w14:textId="77777777" w:rsidTr="00ED18E0">
        <w:tc>
          <w:tcPr>
            <w:tcW w:w="539" w:type="dxa"/>
          </w:tcPr>
          <w:p w14:paraId="262EEC1A"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廿</w:t>
            </w:r>
          </w:p>
        </w:tc>
        <w:tc>
          <w:tcPr>
            <w:tcW w:w="709" w:type="dxa"/>
          </w:tcPr>
          <w:p w14:paraId="7124555E"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snapToGrid w:val="0"/>
                <w:kern w:val="0"/>
                <w:sz w:val="16"/>
                <w:szCs w:val="16"/>
              </w:rPr>
              <w:t>6/28-6/30</w:t>
            </w:r>
          </w:p>
        </w:tc>
        <w:tc>
          <w:tcPr>
            <w:tcW w:w="709" w:type="dxa"/>
          </w:tcPr>
          <w:p w14:paraId="19EBF2A2" w14:textId="77777777" w:rsidR="00766369" w:rsidRPr="00357257" w:rsidRDefault="00766369" w:rsidP="00F55A1B">
            <w:pPr>
              <w:topLinePunct/>
              <w:adjustRightInd w:val="0"/>
              <w:snapToGrid w:val="0"/>
              <w:rPr>
                <w:rFonts w:ascii="新細明體" w:hAnsi="新細明體"/>
                <w:sz w:val="16"/>
                <w:szCs w:val="16"/>
              </w:rPr>
            </w:pPr>
          </w:p>
        </w:tc>
        <w:tc>
          <w:tcPr>
            <w:tcW w:w="709" w:type="dxa"/>
          </w:tcPr>
          <w:p w14:paraId="0BC7F185" w14:textId="77777777" w:rsidR="00766369" w:rsidRPr="00CA5264" w:rsidRDefault="00766369" w:rsidP="00F55A1B">
            <w:pPr>
              <w:snapToGrid w:val="0"/>
              <w:jc w:val="both"/>
              <w:rPr>
                <w:rFonts w:ascii="新細明體" w:eastAsia="新細明體" w:hAnsi="新細明體"/>
                <w:snapToGrid w:val="0"/>
                <w:kern w:val="0"/>
                <w:sz w:val="16"/>
                <w:szCs w:val="16"/>
              </w:rPr>
            </w:pPr>
            <w:r w:rsidRPr="00CA5264">
              <w:rPr>
                <w:rFonts w:ascii="新細明體" w:eastAsia="新細明體" w:hAnsi="新細明體" w:hint="eastAsia"/>
                <w:snapToGrid w:val="0"/>
                <w:kern w:val="0"/>
                <w:sz w:val="16"/>
                <w:szCs w:val="16"/>
              </w:rPr>
              <w:t>複習第四冊</w:t>
            </w:r>
          </w:p>
          <w:p w14:paraId="1089256E" w14:textId="77777777" w:rsidR="00766369" w:rsidRPr="0052708D" w:rsidRDefault="00766369" w:rsidP="00F55A1B">
            <w:pPr>
              <w:snapToGrid w:val="0"/>
              <w:jc w:val="both"/>
              <w:rPr>
                <w:rFonts w:ascii="新細明體" w:hAnsi="新細明體"/>
                <w:sz w:val="16"/>
                <w:szCs w:val="16"/>
              </w:rPr>
            </w:pPr>
            <w:r w:rsidRPr="00CA5264">
              <w:rPr>
                <w:rFonts w:ascii="新細明體" w:eastAsia="新細明體" w:hAnsi="新細明體" w:hint="eastAsia"/>
                <w:snapToGrid w:val="0"/>
                <w:kern w:val="0"/>
                <w:sz w:val="16"/>
                <w:szCs w:val="16"/>
              </w:rPr>
              <w:t>【休業式】</w:t>
            </w:r>
          </w:p>
        </w:tc>
        <w:tc>
          <w:tcPr>
            <w:tcW w:w="708" w:type="dxa"/>
          </w:tcPr>
          <w:p w14:paraId="786DA395" w14:textId="77777777" w:rsidR="00766369" w:rsidRPr="0052708D" w:rsidRDefault="00766369" w:rsidP="00F55A1B">
            <w:pPr>
              <w:snapToGrid w:val="0"/>
              <w:jc w:val="both"/>
              <w:rPr>
                <w:rFonts w:asciiTheme="minorEastAsia" w:hAnsiTheme="minorEastAsia"/>
                <w:sz w:val="16"/>
                <w:szCs w:val="16"/>
              </w:rPr>
            </w:pPr>
            <w:r w:rsidRPr="00CA5264">
              <w:rPr>
                <w:rFonts w:ascii="新細明體" w:eastAsia="新細明體" w:hAnsi="新細明體" w:hint="eastAsia"/>
                <w:snapToGrid w:val="0"/>
                <w:kern w:val="0"/>
                <w:sz w:val="16"/>
                <w:szCs w:val="16"/>
              </w:rPr>
              <w:t>全冊所對應的核心素養項目。</w:t>
            </w:r>
          </w:p>
        </w:tc>
        <w:tc>
          <w:tcPr>
            <w:tcW w:w="1737" w:type="dxa"/>
          </w:tcPr>
          <w:p w14:paraId="212974EE" w14:textId="77777777" w:rsidR="00766369" w:rsidRPr="0052708D" w:rsidRDefault="00766369" w:rsidP="00F55A1B">
            <w:pPr>
              <w:pStyle w:val="Default"/>
              <w:snapToGrid w:val="0"/>
              <w:jc w:val="both"/>
              <w:rPr>
                <w:rFonts w:asciiTheme="minorEastAsia" w:hAnsiTheme="minorEastAsia"/>
                <w:color w:val="auto"/>
                <w:sz w:val="16"/>
                <w:szCs w:val="16"/>
              </w:rPr>
            </w:pPr>
            <w:r w:rsidRPr="00CA5264">
              <w:rPr>
                <w:rFonts w:ascii="新細明體" w:eastAsia="新細明體" w:hAnsi="新細明體" w:hint="eastAsia"/>
                <w:snapToGrid w:val="0"/>
                <w:color w:val="auto"/>
                <w:sz w:val="16"/>
                <w:szCs w:val="16"/>
              </w:rPr>
              <w:t>全冊所對應的核心素養具體內涵。</w:t>
            </w:r>
          </w:p>
        </w:tc>
        <w:tc>
          <w:tcPr>
            <w:tcW w:w="1240" w:type="dxa"/>
          </w:tcPr>
          <w:p w14:paraId="4E77943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全冊所對應的學習表現。</w:t>
            </w:r>
          </w:p>
        </w:tc>
        <w:tc>
          <w:tcPr>
            <w:tcW w:w="1101" w:type="dxa"/>
          </w:tcPr>
          <w:p w14:paraId="5C7E064D"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全冊所對應的學習內容。</w:t>
            </w:r>
          </w:p>
        </w:tc>
        <w:tc>
          <w:tcPr>
            <w:tcW w:w="1171" w:type="dxa"/>
          </w:tcPr>
          <w:p w14:paraId="69C4AFA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 xml:space="preserve">. </w:t>
            </w:r>
            <w:r w:rsidRPr="00CA5264">
              <w:rPr>
                <w:rFonts w:asciiTheme="minorEastAsia" w:hAnsiTheme="minorEastAsia" w:hint="eastAsia"/>
                <w:sz w:val="16"/>
                <w:szCs w:val="16"/>
              </w:rPr>
              <w:t>認識質量守恆定律</w:t>
            </w:r>
          </w:p>
          <w:p w14:paraId="3992B6C3"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認識原子、分子和化學反應</w:t>
            </w:r>
          </w:p>
          <w:p w14:paraId="4C7A39A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認識氧化反應</w:t>
            </w:r>
          </w:p>
          <w:p w14:paraId="0803455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4</w:t>
            </w:r>
            <w:r w:rsidRPr="00CA5264">
              <w:rPr>
                <w:rFonts w:asciiTheme="minorEastAsia" w:hAnsiTheme="minorEastAsia"/>
                <w:sz w:val="16"/>
                <w:szCs w:val="16"/>
              </w:rPr>
              <w:t xml:space="preserve">. </w:t>
            </w:r>
            <w:r w:rsidRPr="00CA5264">
              <w:rPr>
                <w:rFonts w:asciiTheme="minorEastAsia" w:hAnsiTheme="minorEastAsia" w:hint="eastAsia"/>
                <w:sz w:val="16"/>
                <w:szCs w:val="16"/>
              </w:rPr>
              <w:t>認識氧化與還原反應</w:t>
            </w:r>
          </w:p>
          <w:p w14:paraId="0088DE60"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5</w:t>
            </w:r>
            <w:r w:rsidRPr="00CA5264">
              <w:rPr>
                <w:rFonts w:asciiTheme="minorEastAsia" w:hAnsiTheme="minorEastAsia"/>
                <w:sz w:val="16"/>
                <w:szCs w:val="16"/>
              </w:rPr>
              <w:t xml:space="preserve">. </w:t>
            </w:r>
            <w:r w:rsidRPr="00CA5264">
              <w:rPr>
                <w:rFonts w:asciiTheme="minorEastAsia" w:hAnsiTheme="minorEastAsia" w:hint="eastAsia"/>
                <w:sz w:val="16"/>
                <w:szCs w:val="16"/>
              </w:rPr>
              <w:t>認識電解質</w:t>
            </w:r>
          </w:p>
          <w:p w14:paraId="1DC7B755"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6. </w:t>
            </w:r>
            <w:r w:rsidRPr="00CA5264">
              <w:rPr>
                <w:rFonts w:asciiTheme="minorEastAsia" w:hAnsiTheme="minorEastAsia" w:hint="eastAsia"/>
                <w:sz w:val="16"/>
                <w:szCs w:val="16"/>
              </w:rPr>
              <w:t>認識常見的酸、鹼性物質</w:t>
            </w:r>
          </w:p>
          <w:p w14:paraId="11D10309"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7</w:t>
            </w:r>
            <w:r w:rsidRPr="00CA5264">
              <w:rPr>
                <w:rFonts w:asciiTheme="minorEastAsia" w:hAnsiTheme="minorEastAsia"/>
                <w:sz w:val="16"/>
                <w:szCs w:val="16"/>
              </w:rPr>
              <w:t xml:space="preserve">. </w:t>
            </w:r>
            <w:r w:rsidRPr="00CA5264">
              <w:rPr>
                <w:rFonts w:asciiTheme="minorEastAsia" w:hAnsiTheme="minorEastAsia" w:hint="eastAsia"/>
                <w:sz w:val="16"/>
                <w:szCs w:val="16"/>
              </w:rPr>
              <w:t>認識酸鹼的濃度</w:t>
            </w:r>
          </w:p>
          <w:p w14:paraId="1A6E365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8. </w:t>
            </w:r>
            <w:r w:rsidRPr="00CA5264">
              <w:rPr>
                <w:rFonts w:asciiTheme="minorEastAsia" w:hAnsiTheme="minorEastAsia" w:hint="eastAsia"/>
                <w:sz w:val="16"/>
                <w:szCs w:val="16"/>
              </w:rPr>
              <w:t>認識酸鹼反應</w:t>
            </w:r>
          </w:p>
          <w:p w14:paraId="112877ED"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9</w:t>
            </w:r>
            <w:r w:rsidRPr="00CA5264">
              <w:rPr>
                <w:rFonts w:asciiTheme="minorEastAsia" w:hAnsiTheme="minorEastAsia"/>
                <w:sz w:val="16"/>
                <w:szCs w:val="16"/>
              </w:rPr>
              <w:t xml:space="preserve">. </w:t>
            </w:r>
            <w:r w:rsidRPr="00CA5264">
              <w:rPr>
                <w:rFonts w:asciiTheme="minorEastAsia" w:hAnsiTheme="minorEastAsia" w:hint="eastAsia"/>
                <w:sz w:val="16"/>
                <w:szCs w:val="16"/>
              </w:rPr>
              <w:t>認識反應速率</w:t>
            </w:r>
          </w:p>
          <w:p w14:paraId="588D6AAB"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 xml:space="preserve">0. </w:t>
            </w:r>
            <w:r w:rsidRPr="00CA5264">
              <w:rPr>
                <w:rFonts w:asciiTheme="minorEastAsia" w:hAnsiTheme="minorEastAsia" w:hint="eastAsia"/>
                <w:sz w:val="16"/>
                <w:szCs w:val="16"/>
              </w:rPr>
              <w:t>認識可逆反應與平衡</w:t>
            </w:r>
          </w:p>
          <w:p w14:paraId="444200B8"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 xml:space="preserve">1. </w:t>
            </w:r>
            <w:r w:rsidRPr="00CA5264">
              <w:rPr>
                <w:rFonts w:asciiTheme="minorEastAsia" w:hAnsiTheme="minorEastAsia" w:hint="eastAsia"/>
                <w:sz w:val="16"/>
                <w:szCs w:val="16"/>
              </w:rPr>
              <w:t>認識有機化合物</w:t>
            </w:r>
          </w:p>
          <w:p w14:paraId="332265D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12. </w:t>
            </w:r>
            <w:r w:rsidRPr="00CA5264">
              <w:rPr>
                <w:rFonts w:asciiTheme="minorEastAsia" w:hAnsiTheme="minorEastAsia" w:hint="eastAsia"/>
                <w:sz w:val="16"/>
                <w:szCs w:val="16"/>
              </w:rPr>
              <w:t>認識常見的有機化合物</w:t>
            </w:r>
          </w:p>
          <w:p w14:paraId="49AAB304"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13. </w:t>
            </w:r>
            <w:r w:rsidRPr="00CA5264">
              <w:rPr>
                <w:rFonts w:asciiTheme="minorEastAsia" w:hAnsiTheme="minorEastAsia" w:hint="eastAsia"/>
                <w:sz w:val="16"/>
                <w:szCs w:val="16"/>
              </w:rPr>
              <w:t>了解皂化反應和肥皂、清潔劑的去汙原理</w:t>
            </w:r>
          </w:p>
          <w:p w14:paraId="34A2713A"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 xml:space="preserve">4. </w:t>
            </w:r>
            <w:r w:rsidRPr="00CA5264">
              <w:rPr>
                <w:rFonts w:asciiTheme="minorEastAsia" w:hAnsiTheme="minorEastAsia" w:hint="eastAsia"/>
                <w:sz w:val="16"/>
                <w:szCs w:val="16"/>
              </w:rPr>
              <w:t>了解力與平衡的關係</w:t>
            </w:r>
          </w:p>
          <w:p w14:paraId="56DE9091"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 xml:space="preserve">5. </w:t>
            </w:r>
            <w:r w:rsidRPr="00CA5264">
              <w:rPr>
                <w:rFonts w:asciiTheme="minorEastAsia" w:hAnsiTheme="minorEastAsia" w:hint="eastAsia"/>
                <w:sz w:val="16"/>
                <w:szCs w:val="16"/>
              </w:rPr>
              <w:t>認識摩擦力</w:t>
            </w:r>
          </w:p>
          <w:p w14:paraId="335CE3FE"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r w:rsidRPr="00CA5264">
              <w:rPr>
                <w:rFonts w:asciiTheme="minorEastAsia" w:hAnsiTheme="minorEastAsia"/>
                <w:sz w:val="16"/>
                <w:szCs w:val="16"/>
              </w:rPr>
              <w:t xml:space="preserve">6. </w:t>
            </w:r>
            <w:r w:rsidRPr="00CA5264">
              <w:rPr>
                <w:rFonts w:asciiTheme="minorEastAsia" w:hAnsiTheme="minorEastAsia" w:hint="eastAsia"/>
                <w:sz w:val="16"/>
                <w:szCs w:val="16"/>
              </w:rPr>
              <w:t>認識壓力</w:t>
            </w:r>
          </w:p>
          <w:p w14:paraId="0DA34E8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17. </w:t>
            </w:r>
            <w:r w:rsidRPr="00CA5264">
              <w:rPr>
                <w:rFonts w:asciiTheme="minorEastAsia" w:hAnsiTheme="minorEastAsia" w:hint="eastAsia"/>
                <w:sz w:val="16"/>
                <w:szCs w:val="16"/>
              </w:rPr>
              <w:t>認識浮力</w:t>
            </w:r>
          </w:p>
        </w:tc>
        <w:tc>
          <w:tcPr>
            <w:tcW w:w="2973" w:type="dxa"/>
            <w:shd w:val="clear" w:color="auto" w:fill="auto"/>
          </w:tcPr>
          <w:p w14:paraId="4D088748"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複習第四冊</w:t>
            </w:r>
          </w:p>
        </w:tc>
        <w:tc>
          <w:tcPr>
            <w:tcW w:w="567" w:type="dxa"/>
          </w:tcPr>
          <w:p w14:paraId="5B3AA0C2"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w:t>
            </w:r>
          </w:p>
        </w:tc>
        <w:tc>
          <w:tcPr>
            <w:tcW w:w="850" w:type="dxa"/>
          </w:tcPr>
          <w:p w14:paraId="733616E1"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hint="eastAsia"/>
                <w:sz w:val="16"/>
                <w:szCs w:val="16"/>
              </w:rPr>
              <w:t>1. 康軒版教科書。</w:t>
            </w:r>
          </w:p>
        </w:tc>
        <w:tc>
          <w:tcPr>
            <w:tcW w:w="709" w:type="dxa"/>
          </w:tcPr>
          <w:p w14:paraId="7D189EDC"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1. </w:t>
            </w:r>
            <w:r w:rsidRPr="00CA5264">
              <w:rPr>
                <w:rFonts w:asciiTheme="minorEastAsia" w:hAnsiTheme="minorEastAsia" w:hint="eastAsia"/>
                <w:sz w:val="16"/>
                <w:szCs w:val="16"/>
              </w:rPr>
              <w:t>口頭評量</w:t>
            </w:r>
          </w:p>
          <w:p w14:paraId="34935822" w14:textId="77777777" w:rsidR="00766369" w:rsidRPr="00CA5264"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2. </w:t>
            </w:r>
            <w:r w:rsidRPr="00CA5264">
              <w:rPr>
                <w:rFonts w:asciiTheme="minorEastAsia" w:hAnsiTheme="minorEastAsia" w:hint="eastAsia"/>
                <w:sz w:val="16"/>
                <w:szCs w:val="16"/>
              </w:rPr>
              <w:t>實作評量</w:t>
            </w:r>
          </w:p>
          <w:p w14:paraId="13A8CDB9" w14:textId="77777777" w:rsidR="00766369" w:rsidRPr="0052708D" w:rsidRDefault="00766369" w:rsidP="00F55A1B">
            <w:pPr>
              <w:snapToGrid w:val="0"/>
              <w:jc w:val="both"/>
              <w:rPr>
                <w:rFonts w:asciiTheme="minorEastAsia" w:hAnsiTheme="minorEastAsia"/>
                <w:sz w:val="16"/>
                <w:szCs w:val="16"/>
              </w:rPr>
            </w:pPr>
            <w:r w:rsidRPr="00CA5264">
              <w:rPr>
                <w:rFonts w:asciiTheme="minorEastAsia" w:hAnsiTheme="minorEastAsia"/>
                <w:sz w:val="16"/>
                <w:szCs w:val="16"/>
              </w:rPr>
              <w:t xml:space="preserve">3. </w:t>
            </w:r>
            <w:r w:rsidRPr="00CA5264">
              <w:rPr>
                <w:rFonts w:asciiTheme="minorEastAsia" w:hAnsiTheme="minorEastAsia" w:hint="eastAsia"/>
                <w:sz w:val="16"/>
                <w:szCs w:val="16"/>
              </w:rPr>
              <w:t>紙筆評量</w:t>
            </w:r>
          </w:p>
        </w:tc>
        <w:tc>
          <w:tcPr>
            <w:tcW w:w="709" w:type="dxa"/>
          </w:tcPr>
          <w:p w14:paraId="4DE8DC9E"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p>
        </w:tc>
        <w:tc>
          <w:tcPr>
            <w:tcW w:w="850" w:type="dxa"/>
            <w:shd w:val="clear" w:color="auto" w:fill="auto"/>
          </w:tcPr>
          <w:p w14:paraId="79646BE4" w14:textId="77777777" w:rsidR="00766369" w:rsidRPr="00357257" w:rsidRDefault="00766369" w:rsidP="00F55A1B">
            <w:pPr>
              <w:pStyle w:val="Default"/>
              <w:topLinePunct/>
              <w:autoSpaceDE/>
              <w:autoSpaceDN/>
              <w:snapToGrid w:val="0"/>
              <w:jc w:val="both"/>
              <w:rPr>
                <w:rFonts w:ascii="新細明體" w:hAnsi="新細明體" w:cs="Times New Roman"/>
                <w:color w:val="auto"/>
                <w:kern w:val="2"/>
                <w:sz w:val="16"/>
                <w:szCs w:val="16"/>
              </w:rPr>
            </w:pPr>
          </w:p>
        </w:tc>
      </w:tr>
    </w:tbl>
    <w:p w14:paraId="4355877C" w14:textId="77777777" w:rsidR="001320AD" w:rsidRPr="002E0BF0" w:rsidRDefault="001320AD"/>
    <w:sectPr w:rsidR="001320AD" w:rsidRPr="002E0BF0" w:rsidSect="0074257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5FE8" w14:textId="77777777" w:rsidR="00C41661" w:rsidRDefault="00C41661" w:rsidP="0095527C">
      <w:r>
        <w:separator/>
      </w:r>
    </w:p>
  </w:endnote>
  <w:endnote w:type="continuationSeparator" w:id="0">
    <w:p w14:paraId="1051D868" w14:textId="77777777" w:rsidR="00C41661" w:rsidRDefault="00C41661" w:rsidP="009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EF43" w14:textId="77777777" w:rsidR="00C41661" w:rsidRDefault="00C41661" w:rsidP="0095527C">
      <w:r>
        <w:separator/>
      </w:r>
    </w:p>
  </w:footnote>
  <w:footnote w:type="continuationSeparator" w:id="0">
    <w:p w14:paraId="6A5BF11F" w14:textId="77777777" w:rsidR="00C41661" w:rsidRDefault="00C41661" w:rsidP="0095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35BC"/>
    <w:multiLevelType w:val="hybridMultilevel"/>
    <w:tmpl w:val="25AA74AA"/>
    <w:lvl w:ilvl="0" w:tplc="ED14BFEA">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586A66"/>
    <w:multiLevelType w:val="hybridMultilevel"/>
    <w:tmpl w:val="FB3CB8F0"/>
    <w:lvl w:ilvl="0" w:tplc="ABD45A48">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3FAB35E6"/>
    <w:multiLevelType w:val="hybridMultilevel"/>
    <w:tmpl w:val="E75C7862"/>
    <w:lvl w:ilvl="0" w:tplc="501236E6">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65468A"/>
    <w:multiLevelType w:val="hybridMultilevel"/>
    <w:tmpl w:val="F68E722C"/>
    <w:lvl w:ilvl="0" w:tplc="DC009AD8">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 w15:restartNumberingAfterBreak="0">
    <w:nsid w:val="674766DE"/>
    <w:multiLevelType w:val="hybridMultilevel"/>
    <w:tmpl w:val="690C7282"/>
    <w:lvl w:ilvl="0" w:tplc="74FC4A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904CDB"/>
    <w:multiLevelType w:val="hybridMultilevel"/>
    <w:tmpl w:val="869EC0D0"/>
    <w:lvl w:ilvl="0" w:tplc="DD6C0590">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77"/>
    <w:rsid w:val="0000555A"/>
    <w:rsid w:val="00005F44"/>
    <w:rsid w:val="00013BD9"/>
    <w:rsid w:val="000143F2"/>
    <w:rsid w:val="0004036D"/>
    <w:rsid w:val="000411A4"/>
    <w:rsid w:val="00041D36"/>
    <w:rsid w:val="00056835"/>
    <w:rsid w:val="00077821"/>
    <w:rsid w:val="00093F96"/>
    <w:rsid w:val="000B6898"/>
    <w:rsid w:val="000D107F"/>
    <w:rsid w:val="000D5DD9"/>
    <w:rsid w:val="000E1FAC"/>
    <w:rsid w:val="00101FA7"/>
    <w:rsid w:val="00110822"/>
    <w:rsid w:val="001248FE"/>
    <w:rsid w:val="001320AD"/>
    <w:rsid w:val="001352B7"/>
    <w:rsid w:val="00154E8A"/>
    <w:rsid w:val="001559B4"/>
    <w:rsid w:val="00176423"/>
    <w:rsid w:val="00177E60"/>
    <w:rsid w:val="00182022"/>
    <w:rsid w:val="0018340F"/>
    <w:rsid w:val="00184EB8"/>
    <w:rsid w:val="001A5B49"/>
    <w:rsid w:val="001D2143"/>
    <w:rsid w:val="001D7140"/>
    <w:rsid w:val="001E43E0"/>
    <w:rsid w:val="001E63C6"/>
    <w:rsid w:val="001F0825"/>
    <w:rsid w:val="001F59CB"/>
    <w:rsid w:val="00201BF7"/>
    <w:rsid w:val="00204B79"/>
    <w:rsid w:val="00222AB8"/>
    <w:rsid w:val="0023213E"/>
    <w:rsid w:val="00236E2D"/>
    <w:rsid w:val="00244DE9"/>
    <w:rsid w:val="002562CC"/>
    <w:rsid w:val="00257E2D"/>
    <w:rsid w:val="00291150"/>
    <w:rsid w:val="002943DB"/>
    <w:rsid w:val="002A04F1"/>
    <w:rsid w:val="002C1180"/>
    <w:rsid w:val="002D6C94"/>
    <w:rsid w:val="002E0BF0"/>
    <w:rsid w:val="002F4C84"/>
    <w:rsid w:val="002F6ECC"/>
    <w:rsid w:val="00305638"/>
    <w:rsid w:val="00326E6A"/>
    <w:rsid w:val="00331D55"/>
    <w:rsid w:val="00345D22"/>
    <w:rsid w:val="00356BCC"/>
    <w:rsid w:val="003809CB"/>
    <w:rsid w:val="003923BC"/>
    <w:rsid w:val="00396371"/>
    <w:rsid w:val="003A2BE3"/>
    <w:rsid w:val="003A46D5"/>
    <w:rsid w:val="003D6C6B"/>
    <w:rsid w:val="003E6BA2"/>
    <w:rsid w:val="0040139C"/>
    <w:rsid w:val="00413D16"/>
    <w:rsid w:val="004221FC"/>
    <w:rsid w:val="00426770"/>
    <w:rsid w:val="00445DD7"/>
    <w:rsid w:val="00460231"/>
    <w:rsid w:val="004700C3"/>
    <w:rsid w:val="004B4392"/>
    <w:rsid w:val="004B4543"/>
    <w:rsid w:val="004C2347"/>
    <w:rsid w:val="004C4E66"/>
    <w:rsid w:val="004D29E2"/>
    <w:rsid w:val="004E12E2"/>
    <w:rsid w:val="004E63DA"/>
    <w:rsid w:val="004F1926"/>
    <w:rsid w:val="005067AC"/>
    <w:rsid w:val="005113CB"/>
    <w:rsid w:val="005256D5"/>
    <w:rsid w:val="0052708D"/>
    <w:rsid w:val="0055010C"/>
    <w:rsid w:val="0055796A"/>
    <w:rsid w:val="005815F5"/>
    <w:rsid w:val="00586FCE"/>
    <w:rsid w:val="005A4D86"/>
    <w:rsid w:val="005D0AB4"/>
    <w:rsid w:val="005D2CB9"/>
    <w:rsid w:val="005D4B92"/>
    <w:rsid w:val="005D7205"/>
    <w:rsid w:val="005E40DF"/>
    <w:rsid w:val="005E772F"/>
    <w:rsid w:val="00603AD9"/>
    <w:rsid w:val="006348DA"/>
    <w:rsid w:val="006358EE"/>
    <w:rsid w:val="006847DB"/>
    <w:rsid w:val="00690A45"/>
    <w:rsid w:val="006930D5"/>
    <w:rsid w:val="00696C9C"/>
    <w:rsid w:val="006A0B6C"/>
    <w:rsid w:val="006D6DDC"/>
    <w:rsid w:val="006E4961"/>
    <w:rsid w:val="006F51FD"/>
    <w:rsid w:val="0072570E"/>
    <w:rsid w:val="00737EA7"/>
    <w:rsid w:val="00742577"/>
    <w:rsid w:val="007452A5"/>
    <w:rsid w:val="007625E0"/>
    <w:rsid w:val="00764B87"/>
    <w:rsid w:val="00766369"/>
    <w:rsid w:val="00776FCF"/>
    <w:rsid w:val="00790896"/>
    <w:rsid w:val="007E228A"/>
    <w:rsid w:val="007E3857"/>
    <w:rsid w:val="007E6BD5"/>
    <w:rsid w:val="007F0243"/>
    <w:rsid w:val="007F63A1"/>
    <w:rsid w:val="007F7224"/>
    <w:rsid w:val="007F798C"/>
    <w:rsid w:val="00806C78"/>
    <w:rsid w:val="00814159"/>
    <w:rsid w:val="00835CEC"/>
    <w:rsid w:val="00843A40"/>
    <w:rsid w:val="0086173C"/>
    <w:rsid w:val="00861C3A"/>
    <w:rsid w:val="00861D78"/>
    <w:rsid w:val="00887387"/>
    <w:rsid w:val="008B3704"/>
    <w:rsid w:val="008B4989"/>
    <w:rsid w:val="008C15FF"/>
    <w:rsid w:val="008C1665"/>
    <w:rsid w:val="008C3A16"/>
    <w:rsid w:val="008D49E2"/>
    <w:rsid w:val="008E6E6B"/>
    <w:rsid w:val="008F0298"/>
    <w:rsid w:val="008F54FD"/>
    <w:rsid w:val="008F67AE"/>
    <w:rsid w:val="009057E9"/>
    <w:rsid w:val="009254FB"/>
    <w:rsid w:val="00935BF8"/>
    <w:rsid w:val="00951FE5"/>
    <w:rsid w:val="0095527C"/>
    <w:rsid w:val="00964C8C"/>
    <w:rsid w:val="0096796E"/>
    <w:rsid w:val="00971DCF"/>
    <w:rsid w:val="009773C0"/>
    <w:rsid w:val="00996427"/>
    <w:rsid w:val="009A026D"/>
    <w:rsid w:val="009B7586"/>
    <w:rsid w:val="009C27B0"/>
    <w:rsid w:val="00A32AB7"/>
    <w:rsid w:val="00A374E4"/>
    <w:rsid w:val="00A43AFE"/>
    <w:rsid w:val="00A73602"/>
    <w:rsid w:val="00A85FDD"/>
    <w:rsid w:val="00A86BC8"/>
    <w:rsid w:val="00AC034A"/>
    <w:rsid w:val="00AD6138"/>
    <w:rsid w:val="00AF3E69"/>
    <w:rsid w:val="00B15D8D"/>
    <w:rsid w:val="00B2213A"/>
    <w:rsid w:val="00B43870"/>
    <w:rsid w:val="00B57063"/>
    <w:rsid w:val="00B639F6"/>
    <w:rsid w:val="00B675C3"/>
    <w:rsid w:val="00BA2666"/>
    <w:rsid w:val="00BB0AA8"/>
    <w:rsid w:val="00BB6768"/>
    <w:rsid w:val="00BB7741"/>
    <w:rsid w:val="00BE2A09"/>
    <w:rsid w:val="00BF7504"/>
    <w:rsid w:val="00C00E7B"/>
    <w:rsid w:val="00C30D0E"/>
    <w:rsid w:val="00C35B72"/>
    <w:rsid w:val="00C41661"/>
    <w:rsid w:val="00C52BBE"/>
    <w:rsid w:val="00C67072"/>
    <w:rsid w:val="00C84599"/>
    <w:rsid w:val="00C87AD2"/>
    <w:rsid w:val="00CA06C2"/>
    <w:rsid w:val="00CA5264"/>
    <w:rsid w:val="00CB78B4"/>
    <w:rsid w:val="00CE2161"/>
    <w:rsid w:val="00D16748"/>
    <w:rsid w:val="00D16F71"/>
    <w:rsid w:val="00D36701"/>
    <w:rsid w:val="00D671A3"/>
    <w:rsid w:val="00D72D20"/>
    <w:rsid w:val="00D939E9"/>
    <w:rsid w:val="00D968EE"/>
    <w:rsid w:val="00DA3B44"/>
    <w:rsid w:val="00DA3E1E"/>
    <w:rsid w:val="00DB0459"/>
    <w:rsid w:val="00DB7232"/>
    <w:rsid w:val="00DC4EB3"/>
    <w:rsid w:val="00DD2DAB"/>
    <w:rsid w:val="00E031FA"/>
    <w:rsid w:val="00E131DE"/>
    <w:rsid w:val="00E1321B"/>
    <w:rsid w:val="00E2349C"/>
    <w:rsid w:val="00E430B8"/>
    <w:rsid w:val="00E445C8"/>
    <w:rsid w:val="00E50108"/>
    <w:rsid w:val="00E515DC"/>
    <w:rsid w:val="00E518B4"/>
    <w:rsid w:val="00E5426B"/>
    <w:rsid w:val="00E61121"/>
    <w:rsid w:val="00E6212A"/>
    <w:rsid w:val="00E6584C"/>
    <w:rsid w:val="00E6654E"/>
    <w:rsid w:val="00E7263D"/>
    <w:rsid w:val="00EC28CF"/>
    <w:rsid w:val="00EC7FBE"/>
    <w:rsid w:val="00ED18E0"/>
    <w:rsid w:val="00EE08FE"/>
    <w:rsid w:val="00EE163D"/>
    <w:rsid w:val="00F1266C"/>
    <w:rsid w:val="00F26934"/>
    <w:rsid w:val="00F27839"/>
    <w:rsid w:val="00F55A1B"/>
    <w:rsid w:val="00F71B74"/>
    <w:rsid w:val="00FB085B"/>
    <w:rsid w:val="00FC4C1C"/>
    <w:rsid w:val="00FC5476"/>
    <w:rsid w:val="00FD7765"/>
    <w:rsid w:val="00FF4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A870"/>
  <w15:docId w15:val="{78D53CC9-D965-4061-9CDE-5F9F5EE4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74E4"/>
    <w:rPr>
      <w:color w:val="0563C1" w:themeColor="hyperlink"/>
      <w:u w:val="single"/>
    </w:rPr>
  </w:style>
  <w:style w:type="paragraph" w:styleId="a5">
    <w:name w:val="Balloon Text"/>
    <w:basedOn w:val="a"/>
    <w:link w:val="a6"/>
    <w:uiPriority w:val="99"/>
    <w:semiHidden/>
    <w:unhideWhenUsed/>
    <w:rsid w:val="00C00E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E7B"/>
    <w:rPr>
      <w:rFonts w:asciiTheme="majorHAnsi" w:eastAsiaTheme="majorEastAsia" w:hAnsiTheme="majorHAnsi" w:cstheme="majorBidi"/>
      <w:sz w:val="18"/>
      <w:szCs w:val="18"/>
    </w:rPr>
  </w:style>
  <w:style w:type="paragraph" w:customStyle="1" w:styleId="3">
    <w:name w:val="3.【對應能力指標】內文字"/>
    <w:basedOn w:val="a7"/>
    <w:rsid w:val="00331D55"/>
    <w:pPr>
      <w:tabs>
        <w:tab w:val="left" w:pos="624"/>
      </w:tabs>
      <w:spacing w:line="220" w:lineRule="exact"/>
      <w:ind w:left="624" w:right="57" w:hanging="567"/>
      <w:jc w:val="both"/>
    </w:pPr>
    <w:rPr>
      <w:rFonts w:ascii="新細明體" w:eastAsia="新細明體" w:cs="Times New Roman"/>
      <w:sz w:val="16"/>
      <w:szCs w:val="20"/>
    </w:rPr>
  </w:style>
  <w:style w:type="paragraph" w:styleId="a7">
    <w:name w:val="Plain Text"/>
    <w:basedOn w:val="a"/>
    <w:link w:val="a8"/>
    <w:unhideWhenUsed/>
    <w:rsid w:val="00331D55"/>
    <w:rPr>
      <w:rFonts w:ascii="細明體" w:eastAsia="細明體" w:hAnsi="Courier New" w:cs="Courier New"/>
      <w:szCs w:val="24"/>
    </w:rPr>
  </w:style>
  <w:style w:type="character" w:customStyle="1" w:styleId="a8">
    <w:name w:val="純文字 字元"/>
    <w:basedOn w:val="a0"/>
    <w:link w:val="a7"/>
    <w:uiPriority w:val="99"/>
    <w:semiHidden/>
    <w:rsid w:val="00331D55"/>
    <w:rPr>
      <w:rFonts w:ascii="細明體" w:eastAsia="細明體" w:hAnsi="Courier New" w:cs="Courier New"/>
      <w:szCs w:val="24"/>
    </w:rPr>
  </w:style>
  <w:style w:type="paragraph" w:customStyle="1" w:styleId="1">
    <w:name w:val="1.標題文字"/>
    <w:basedOn w:val="a"/>
    <w:rsid w:val="00EE08FE"/>
    <w:pPr>
      <w:jc w:val="center"/>
    </w:pPr>
    <w:rPr>
      <w:rFonts w:ascii="華康中黑體" w:eastAsia="華康中黑體" w:hAnsi="Times New Roman" w:cs="Times New Roman"/>
      <w:sz w:val="28"/>
      <w:szCs w:val="20"/>
    </w:rPr>
  </w:style>
  <w:style w:type="paragraph" w:styleId="a9">
    <w:name w:val="header"/>
    <w:basedOn w:val="a"/>
    <w:link w:val="aa"/>
    <w:uiPriority w:val="99"/>
    <w:unhideWhenUsed/>
    <w:rsid w:val="0095527C"/>
    <w:pPr>
      <w:tabs>
        <w:tab w:val="center" w:pos="4153"/>
        <w:tab w:val="right" w:pos="8306"/>
      </w:tabs>
      <w:snapToGrid w:val="0"/>
    </w:pPr>
    <w:rPr>
      <w:sz w:val="20"/>
      <w:szCs w:val="20"/>
    </w:rPr>
  </w:style>
  <w:style w:type="character" w:customStyle="1" w:styleId="aa">
    <w:name w:val="頁首 字元"/>
    <w:basedOn w:val="a0"/>
    <w:link w:val="a9"/>
    <w:uiPriority w:val="99"/>
    <w:rsid w:val="0095527C"/>
    <w:rPr>
      <w:sz w:val="20"/>
      <w:szCs w:val="20"/>
    </w:rPr>
  </w:style>
  <w:style w:type="paragraph" w:styleId="ab">
    <w:name w:val="footer"/>
    <w:basedOn w:val="a"/>
    <w:link w:val="ac"/>
    <w:uiPriority w:val="99"/>
    <w:unhideWhenUsed/>
    <w:rsid w:val="0095527C"/>
    <w:pPr>
      <w:tabs>
        <w:tab w:val="center" w:pos="4153"/>
        <w:tab w:val="right" w:pos="8306"/>
      </w:tabs>
      <w:snapToGrid w:val="0"/>
    </w:pPr>
    <w:rPr>
      <w:sz w:val="20"/>
      <w:szCs w:val="20"/>
    </w:rPr>
  </w:style>
  <w:style w:type="character" w:customStyle="1" w:styleId="ac">
    <w:name w:val="頁尾 字元"/>
    <w:basedOn w:val="a0"/>
    <w:link w:val="ab"/>
    <w:uiPriority w:val="99"/>
    <w:rsid w:val="0095527C"/>
    <w:rPr>
      <w:sz w:val="20"/>
      <w:szCs w:val="20"/>
    </w:rPr>
  </w:style>
  <w:style w:type="paragraph" w:customStyle="1" w:styleId="Default">
    <w:name w:val="Default"/>
    <w:rsid w:val="0072570E"/>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5D7205"/>
    <w:rPr>
      <w:color w:val="954F72" w:themeColor="followedHyperlink"/>
      <w:u w:val="single"/>
    </w:rPr>
  </w:style>
  <w:style w:type="paragraph" w:styleId="ae">
    <w:name w:val="List Paragraph"/>
    <w:basedOn w:val="a"/>
    <w:uiPriority w:val="34"/>
    <w:qFormat/>
    <w:rsid w:val="00014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32AD1-71E9-4BA4-8FE2-A46BEB1C7696}" type="doc">
      <dgm:prSet loTypeId="urn:microsoft.com/office/officeart/2005/8/layout/process2" loCatId="process" qsTypeId="urn:microsoft.com/office/officeart/2005/8/quickstyle/simple1" qsCatId="simple" csTypeId="urn:microsoft.com/office/officeart/2005/8/colors/accent2_2" csCatId="accent2" phldr="1"/>
      <dgm:spPr/>
    </dgm:pt>
    <dgm:pt modelId="{A621DDD7-DE10-451F-8367-283F3221BBBF}">
      <dgm:prSet phldrT="[文字]"/>
      <dgm:spPr>
        <a:xfrm>
          <a:off x="62486" y="1220"/>
          <a:ext cx="1446651" cy="36166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Calibri"/>
              <a:ea typeface="新細明體"/>
              <a:cs typeface="+mn-cs"/>
            </a:rPr>
            <a:t>化學反應</a:t>
          </a:r>
        </a:p>
      </dgm:t>
    </dgm:pt>
    <dgm:pt modelId="{A9A178A6-EFF5-4DB4-902E-3633443301D0}" type="parTrans" cxnId="{1E011400-8CF0-4C6F-9A7E-757C503D428B}">
      <dgm:prSet/>
      <dgm:spPr/>
      <dgm:t>
        <a:bodyPr/>
        <a:lstStyle/>
        <a:p>
          <a:endParaRPr lang="zh-TW" altLang="en-US"/>
        </a:p>
      </dgm:t>
    </dgm:pt>
    <dgm:pt modelId="{14D3CB7E-B5A1-4E51-B7F3-A177C75A46E9}" type="sibTrans" cxnId="{1E011400-8CF0-4C6F-9A7E-757C503D428B}">
      <dgm:prSet/>
      <dgm:spPr>
        <a:xfrm rot="5400000">
          <a:off x="718000" y="371924"/>
          <a:ext cx="135623" cy="162748"/>
        </a:xfrm>
        <a:solidFill>
          <a:srgbClr val="C0504D">
            <a:tint val="60000"/>
            <a:hueOff val="0"/>
            <a:satOff val="0"/>
            <a:lumOff val="0"/>
            <a:alphaOff val="0"/>
          </a:srgbClr>
        </a:solidFill>
        <a:ln>
          <a:noFill/>
        </a:ln>
        <a:effectLst/>
      </dgm:spPr>
      <dgm:t>
        <a:bodyPr/>
        <a:lstStyle/>
        <a:p>
          <a:endParaRPr lang="zh-TW" altLang="en-US">
            <a:solidFill>
              <a:sysClr val="window" lastClr="FFFFFF"/>
            </a:solidFill>
            <a:latin typeface="Calibri"/>
            <a:ea typeface="新細明體"/>
            <a:cs typeface="+mn-cs"/>
          </a:endParaRPr>
        </a:p>
      </dgm:t>
    </dgm:pt>
    <dgm:pt modelId="{6AAA7D5C-44F0-4760-850E-238776C28906}">
      <dgm:prSet phldrT="[文字]"/>
      <dgm:spPr>
        <a:xfrm>
          <a:off x="62486" y="543714"/>
          <a:ext cx="1446651" cy="36166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Calibri"/>
              <a:ea typeface="新細明體"/>
              <a:cs typeface="+mn-cs"/>
            </a:rPr>
            <a:t>氧化與還原</a:t>
          </a:r>
        </a:p>
      </dgm:t>
    </dgm:pt>
    <dgm:pt modelId="{4542EAF2-5D65-4A55-84DA-6FFFD97B05AD}" type="parTrans" cxnId="{A89E65F7-7AF4-4312-88E9-44D72720FD6F}">
      <dgm:prSet/>
      <dgm:spPr/>
      <dgm:t>
        <a:bodyPr/>
        <a:lstStyle/>
        <a:p>
          <a:endParaRPr lang="zh-TW" altLang="en-US"/>
        </a:p>
      </dgm:t>
    </dgm:pt>
    <dgm:pt modelId="{FD3FD3BB-A309-4E82-9353-46DF3140B6AA}" type="sibTrans" cxnId="{A89E65F7-7AF4-4312-88E9-44D72720FD6F}">
      <dgm:prSet/>
      <dgm:spPr>
        <a:xfrm rot="5400000">
          <a:off x="718000" y="914419"/>
          <a:ext cx="135623" cy="162748"/>
        </a:xfrm>
        <a:solidFill>
          <a:srgbClr val="C0504D">
            <a:tint val="60000"/>
            <a:hueOff val="0"/>
            <a:satOff val="0"/>
            <a:lumOff val="0"/>
            <a:alphaOff val="0"/>
          </a:srgbClr>
        </a:solidFill>
        <a:ln>
          <a:noFill/>
        </a:ln>
        <a:effectLst/>
      </dgm:spPr>
      <dgm:t>
        <a:bodyPr/>
        <a:lstStyle/>
        <a:p>
          <a:endParaRPr lang="zh-TW" altLang="en-US">
            <a:solidFill>
              <a:sysClr val="window" lastClr="FFFFFF"/>
            </a:solidFill>
            <a:latin typeface="Calibri"/>
            <a:ea typeface="新細明體"/>
            <a:cs typeface="+mn-cs"/>
          </a:endParaRPr>
        </a:p>
      </dgm:t>
    </dgm:pt>
    <dgm:pt modelId="{A5D4B424-D114-4C8C-873A-35878583C264}">
      <dgm:prSet phldrT="[文字]"/>
      <dgm:spPr>
        <a:xfrm>
          <a:off x="62486" y="1086208"/>
          <a:ext cx="1446651" cy="36166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Calibri"/>
              <a:ea typeface="新細明體"/>
              <a:cs typeface="+mn-cs"/>
            </a:rPr>
            <a:t>電解質與酸鹼反應</a:t>
          </a:r>
        </a:p>
      </dgm:t>
    </dgm:pt>
    <dgm:pt modelId="{2AE7AE58-D9E3-45CC-BF1B-1A0FF6BEA548}" type="parTrans" cxnId="{C643A580-4DF7-4827-A4B5-459FCDE53FB1}">
      <dgm:prSet/>
      <dgm:spPr/>
      <dgm:t>
        <a:bodyPr/>
        <a:lstStyle/>
        <a:p>
          <a:endParaRPr lang="zh-TW" altLang="en-US"/>
        </a:p>
      </dgm:t>
    </dgm:pt>
    <dgm:pt modelId="{6C2D6193-D256-4E24-893B-030796B47099}" type="sibTrans" cxnId="{C643A580-4DF7-4827-A4B5-459FCDE53FB1}">
      <dgm:prSet/>
      <dgm:spPr>
        <a:xfrm rot="5400000">
          <a:off x="718000" y="1456913"/>
          <a:ext cx="135623" cy="162748"/>
        </a:xfrm>
        <a:solidFill>
          <a:srgbClr val="C0504D">
            <a:tint val="60000"/>
            <a:hueOff val="0"/>
            <a:satOff val="0"/>
            <a:lumOff val="0"/>
            <a:alphaOff val="0"/>
          </a:srgbClr>
        </a:solidFill>
        <a:ln>
          <a:noFill/>
        </a:ln>
        <a:effectLst/>
      </dgm:spPr>
      <dgm:t>
        <a:bodyPr/>
        <a:lstStyle/>
        <a:p>
          <a:endParaRPr lang="zh-TW" altLang="en-US">
            <a:solidFill>
              <a:sysClr val="window" lastClr="FFFFFF"/>
            </a:solidFill>
            <a:latin typeface="Calibri"/>
            <a:ea typeface="新細明體"/>
            <a:cs typeface="+mn-cs"/>
          </a:endParaRPr>
        </a:p>
      </dgm:t>
    </dgm:pt>
    <dgm:pt modelId="{8DFC48B2-2E44-42B6-8867-2DB2C6D04D65}">
      <dgm:prSet phldrT="[文字]"/>
      <dgm:spPr>
        <a:xfrm>
          <a:off x="62486" y="1628703"/>
          <a:ext cx="1446651" cy="36166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Calibri"/>
              <a:ea typeface="新細明體"/>
              <a:cs typeface="+mn-cs"/>
            </a:rPr>
            <a:t>反應速率與平衡</a:t>
          </a:r>
          <a:endParaRPr lang="en-US" altLang="zh-TW">
            <a:solidFill>
              <a:sysClr val="window" lastClr="FFFFFF"/>
            </a:solidFill>
            <a:latin typeface="Calibri"/>
            <a:ea typeface="新細明體"/>
            <a:cs typeface="+mn-cs"/>
          </a:endParaRPr>
        </a:p>
      </dgm:t>
    </dgm:pt>
    <dgm:pt modelId="{40785E15-243B-4021-B8F7-EB0CCDA3DA8B}" type="parTrans" cxnId="{AE0DEBE6-E6B0-4AB3-A42D-B7F5E3AF1F34}">
      <dgm:prSet/>
      <dgm:spPr/>
      <dgm:t>
        <a:bodyPr/>
        <a:lstStyle/>
        <a:p>
          <a:endParaRPr lang="zh-TW" altLang="en-US"/>
        </a:p>
      </dgm:t>
    </dgm:pt>
    <dgm:pt modelId="{09FD7815-D3D4-487B-9714-4B6154285654}" type="sibTrans" cxnId="{AE0DEBE6-E6B0-4AB3-A42D-B7F5E3AF1F34}">
      <dgm:prSet/>
      <dgm:spPr>
        <a:xfrm rot="5400000">
          <a:off x="718000" y="1999407"/>
          <a:ext cx="135623" cy="162748"/>
        </a:xfrm>
        <a:solidFill>
          <a:srgbClr val="C0504D">
            <a:tint val="60000"/>
            <a:hueOff val="0"/>
            <a:satOff val="0"/>
            <a:lumOff val="0"/>
            <a:alphaOff val="0"/>
          </a:srgbClr>
        </a:solidFill>
        <a:ln>
          <a:noFill/>
        </a:ln>
        <a:effectLst/>
      </dgm:spPr>
      <dgm:t>
        <a:bodyPr/>
        <a:lstStyle/>
        <a:p>
          <a:endParaRPr lang="zh-TW" altLang="en-US">
            <a:solidFill>
              <a:sysClr val="window" lastClr="FFFFFF"/>
            </a:solidFill>
            <a:latin typeface="Calibri"/>
            <a:ea typeface="新細明體"/>
            <a:cs typeface="+mn-cs"/>
          </a:endParaRPr>
        </a:p>
      </dgm:t>
    </dgm:pt>
    <dgm:pt modelId="{969635C3-3DD1-4117-910B-35C72D34E83B}">
      <dgm:prSet phldrT="[文字]"/>
      <dgm:spPr>
        <a:xfrm>
          <a:off x="62486" y="2171197"/>
          <a:ext cx="1446651" cy="36166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Calibri"/>
              <a:ea typeface="新細明體"/>
              <a:cs typeface="+mn-cs"/>
            </a:rPr>
            <a:t>有機化合物</a:t>
          </a:r>
          <a:endParaRPr lang="en-US" altLang="zh-TW">
            <a:solidFill>
              <a:sysClr val="window" lastClr="FFFFFF"/>
            </a:solidFill>
            <a:latin typeface="Calibri"/>
            <a:ea typeface="新細明體"/>
            <a:cs typeface="+mn-cs"/>
          </a:endParaRPr>
        </a:p>
      </dgm:t>
    </dgm:pt>
    <dgm:pt modelId="{0B42FA22-8A17-4AFB-A213-6418B0CBA5D5}" type="parTrans" cxnId="{44BBB592-534D-4BEB-934D-C82E45855CB1}">
      <dgm:prSet/>
      <dgm:spPr/>
      <dgm:t>
        <a:bodyPr/>
        <a:lstStyle/>
        <a:p>
          <a:endParaRPr lang="zh-TW" altLang="en-US"/>
        </a:p>
      </dgm:t>
    </dgm:pt>
    <dgm:pt modelId="{E4A1FC5A-DAB6-4D34-846B-441D1E29B65F}" type="sibTrans" cxnId="{44BBB592-534D-4BEB-934D-C82E45855CB1}">
      <dgm:prSet/>
      <dgm:spPr>
        <a:xfrm rot="5400000">
          <a:off x="718000" y="2541901"/>
          <a:ext cx="135623" cy="162748"/>
        </a:xfrm>
        <a:solidFill>
          <a:srgbClr val="C0504D">
            <a:tint val="60000"/>
            <a:hueOff val="0"/>
            <a:satOff val="0"/>
            <a:lumOff val="0"/>
            <a:alphaOff val="0"/>
          </a:srgbClr>
        </a:solidFill>
        <a:ln>
          <a:noFill/>
        </a:ln>
        <a:effectLst/>
      </dgm:spPr>
      <dgm:t>
        <a:bodyPr/>
        <a:lstStyle/>
        <a:p>
          <a:endParaRPr lang="zh-TW" altLang="en-US">
            <a:solidFill>
              <a:sysClr val="window" lastClr="FFFFFF"/>
            </a:solidFill>
            <a:latin typeface="Calibri"/>
            <a:ea typeface="新細明體"/>
            <a:cs typeface="+mn-cs"/>
          </a:endParaRPr>
        </a:p>
      </dgm:t>
    </dgm:pt>
    <dgm:pt modelId="{40B6B2E5-7AFB-4CDA-B4B6-BE34C7F6A41D}">
      <dgm:prSet phldrT="[文字]"/>
      <dgm:spPr>
        <a:xfrm>
          <a:off x="62486" y="2713691"/>
          <a:ext cx="1446651" cy="36166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TW" altLang="en-US">
              <a:solidFill>
                <a:sysClr val="window" lastClr="FFFFFF"/>
              </a:solidFill>
              <a:latin typeface="Calibri"/>
              <a:ea typeface="新細明體"/>
              <a:cs typeface="+mn-cs"/>
            </a:rPr>
            <a:t>力與壓力</a:t>
          </a:r>
          <a:endParaRPr lang="en-US" altLang="zh-TW">
            <a:solidFill>
              <a:sysClr val="window" lastClr="FFFFFF"/>
            </a:solidFill>
            <a:latin typeface="Calibri"/>
            <a:ea typeface="新細明體"/>
            <a:cs typeface="+mn-cs"/>
          </a:endParaRPr>
        </a:p>
      </dgm:t>
    </dgm:pt>
    <dgm:pt modelId="{08D3C148-F9C2-4AAC-B397-7B812EB313C5}" type="parTrans" cxnId="{DE119E49-69EC-415D-94D1-986B37E68FF4}">
      <dgm:prSet/>
      <dgm:spPr/>
      <dgm:t>
        <a:bodyPr/>
        <a:lstStyle/>
        <a:p>
          <a:endParaRPr lang="zh-TW" altLang="en-US"/>
        </a:p>
      </dgm:t>
    </dgm:pt>
    <dgm:pt modelId="{3E3ECC52-0003-43A5-9837-651EF51FE3D0}" type="sibTrans" cxnId="{DE119E49-69EC-415D-94D1-986B37E68FF4}">
      <dgm:prSet/>
      <dgm:spPr/>
      <dgm:t>
        <a:bodyPr/>
        <a:lstStyle/>
        <a:p>
          <a:endParaRPr lang="zh-TW" altLang="en-US"/>
        </a:p>
      </dgm:t>
    </dgm:pt>
    <dgm:pt modelId="{917D6625-F5D2-45C1-B3EC-0DEC1833D309}" type="pres">
      <dgm:prSet presAssocID="{7D132AD1-71E9-4BA4-8FE2-A46BEB1C7696}" presName="linearFlow" presStyleCnt="0">
        <dgm:presLayoutVars>
          <dgm:resizeHandles val="exact"/>
        </dgm:presLayoutVars>
      </dgm:prSet>
      <dgm:spPr/>
    </dgm:pt>
    <dgm:pt modelId="{5AC88A19-5D29-471F-A05E-74CE39A4F70D}" type="pres">
      <dgm:prSet presAssocID="{A621DDD7-DE10-451F-8367-283F3221BBBF}" presName="node" presStyleLbl="node1" presStyleIdx="0" presStyleCnt="6">
        <dgm:presLayoutVars>
          <dgm:bulletEnabled val="1"/>
        </dgm:presLayoutVars>
      </dgm:prSet>
      <dgm:spPr>
        <a:prstGeom prst="roundRect">
          <a:avLst>
            <a:gd name="adj" fmla="val 10000"/>
          </a:avLst>
        </a:prstGeom>
      </dgm:spPr>
    </dgm:pt>
    <dgm:pt modelId="{6403BD17-9799-42D5-840E-24E006E652B3}" type="pres">
      <dgm:prSet presAssocID="{14D3CB7E-B5A1-4E51-B7F3-A177C75A46E9}" presName="sibTrans" presStyleLbl="sibTrans2D1" presStyleIdx="0" presStyleCnt="5"/>
      <dgm:spPr>
        <a:prstGeom prst="rightArrow">
          <a:avLst>
            <a:gd name="adj1" fmla="val 60000"/>
            <a:gd name="adj2" fmla="val 50000"/>
          </a:avLst>
        </a:prstGeom>
      </dgm:spPr>
    </dgm:pt>
    <dgm:pt modelId="{A0B36363-A4E8-4D65-B048-26FE9080EF56}" type="pres">
      <dgm:prSet presAssocID="{14D3CB7E-B5A1-4E51-B7F3-A177C75A46E9}" presName="connectorText" presStyleLbl="sibTrans2D1" presStyleIdx="0" presStyleCnt="5"/>
      <dgm:spPr/>
    </dgm:pt>
    <dgm:pt modelId="{B4608B08-72E5-48BC-A3F6-7E41E4E377C5}" type="pres">
      <dgm:prSet presAssocID="{6AAA7D5C-44F0-4760-850E-238776C28906}" presName="node" presStyleLbl="node1" presStyleIdx="1" presStyleCnt="6">
        <dgm:presLayoutVars>
          <dgm:bulletEnabled val="1"/>
        </dgm:presLayoutVars>
      </dgm:prSet>
      <dgm:spPr>
        <a:prstGeom prst="roundRect">
          <a:avLst>
            <a:gd name="adj" fmla="val 10000"/>
          </a:avLst>
        </a:prstGeom>
      </dgm:spPr>
    </dgm:pt>
    <dgm:pt modelId="{2FEA1266-B437-45BC-AB3A-2AFCA211481C}" type="pres">
      <dgm:prSet presAssocID="{FD3FD3BB-A309-4E82-9353-46DF3140B6AA}" presName="sibTrans" presStyleLbl="sibTrans2D1" presStyleIdx="1" presStyleCnt="5"/>
      <dgm:spPr>
        <a:prstGeom prst="rightArrow">
          <a:avLst>
            <a:gd name="adj1" fmla="val 60000"/>
            <a:gd name="adj2" fmla="val 50000"/>
          </a:avLst>
        </a:prstGeom>
      </dgm:spPr>
    </dgm:pt>
    <dgm:pt modelId="{433C96D4-43C0-465B-857C-FAD8A9EDC235}" type="pres">
      <dgm:prSet presAssocID="{FD3FD3BB-A309-4E82-9353-46DF3140B6AA}" presName="connectorText" presStyleLbl="sibTrans2D1" presStyleIdx="1" presStyleCnt="5"/>
      <dgm:spPr/>
    </dgm:pt>
    <dgm:pt modelId="{EEEE63DF-D12A-46C7-AF2F-C79667206688}" type="pres">
      <dgm:prSet presAssocID="{A5D4B424-D114-4C8C-873A-35878583C264}" presName="node" presStyleLbl="node1" presStyleIdx="2" presStyleCnt="6">
        <dgm:presLayoutVars>
          <dgm:bulletEnabled val="1"/>
        </dgm:presLayoutVars>
      </dgm:prSet>
      <dgm:spPr>
        <a:prstGeom prst="roundRect">
          <a:avLst>
            <a:gd name="adj" fmla="val 10000"/>
          </a:avLst>
        </a:prstGeom>
      </dgm:spPr>
    </dgm:pt>
    <dgm:pt modelId="{D0145D25-4871-4B58-834D-A2E434F31C8B}" type="pres">
      <dgm:prSet presAssocID="{6C2D6193-D256-4E24-893B-030796B47099}" presName="sibTrans" presStyleLbl="sibTrans2D1" presStyleIdx="2" presStyleCnt="5"/>
      <dgm:spPr>
        <a:prstGeom prst="rightArrow">
          <a:avLst>
            <a:gd name="adj1" fmla="val 60000"/>
            <a:gd name="adj2" fmla="val 50000"/>
          </a:avLst>
        </a:prstGeom>
      </dgm:spPr>
    </dgm:pt>
    <dgm:pt modelId="{73D69177-00EB-4C84-8758-29E47444F4BF}" type="pres">
      <dgm:prSet presAssocID="{6C2D6193-D256-4E24-893B-030796B47099}" presName="connectorText" presStyleLbl="sibTrans2D1" presStyleIdx="2" presStyleCnt="5"/>
      <dgm:spPr/>
    </dgm:pt>
    <dgm:pt modelId="{34995248-699F-4B89-83FF-45D6ECA34C62}" type="pres">
      <dgm:prSet presAssocID="{8DFC48B2-2E44-42B6-8867-2DB2C6D04D65}" presName="node" presStyleLbl="node1" presStyleIdx="3" presStyleCnt="6">
        <dgm:presLayoutVars>
          <dgm:bulletEnabled val="1"/>
        </dgm:presLayoutVars>
      </dgm:prSet>
      <dgm:spPr>
        <a:prstGeom prst="roundRect">
          <a:avLst>
            <a:gd name="adj" fmla="val 10000"/>
          </a:avLst>
        </a:prstGeom>
      </dgm:spPr>
    </dgm:pt>
    <dgm:pt modelId="{4988F42C-80C7-4495-B3E3-505322D160BA}" type="pres">
      <dgm:prSet presAssocID="{09FD7815-D3D4-487B-9714-4B6154285654}" presName="sibTrans" presStyleLbl="sibTrans2D1" presStyleIdx="3" presStyleCnt="5"/>
      <dgm:spPr>
        <a:prstGeom prst="rightArrow">
          <a:avLst>
            <a:gd name="adj1" fmla="val 60000"/>
            <a:gd name="adj2" fmla="val 50000"/>
          </a:avLst>
        </a:prstGeom>
      </dgm:spPr>
    </dgm:pt>
    <dgm:pt modelId="{2CDD2419-FE58-4BC6-A6C6-9F8A8B6F09F4}" type="pres">
      <dgm:prSet presAssocID="{09FD7815-D3D4-487B-9714-4B6154285654}" presName="connectorText" presStyleLbl="sibTrans2D1" presStyleIdx="3" presStyleCnt="5"/>
      <dgm:spPr/>
    </dgm:pt>
    <dgm:pt modelId="{5CE76AFB-E02B-48EE-A3A4-FFA6448895B0}" type="pres">
      <dgm:prSet presAssocID="{969635C3-3DD1-4117-910B-35C72D34E83B}" presName="node" presStyleLbl="node1" presStyleIdx="4" presStyleCnt="6">
        <dgm:presLayoutVars>
          <dgm:bulletEnabled val="1"/>
        </dgm:presLayoutVars>
      </dgm:prSet>
      <dgm:spPr>
        <a:prstGeom prst="roundRect">
          <a:avLst>
            <a:gd name="adj" fmla="val 10000"/>
          </a:avLst>
        </a:prstGeom>
      </dgm:spPr>
    </dgm:pt>
    <dgm:pt modelId="{3C454F08-6587-4ECD-BB0F-BEA518EAF9E7}" type="pres">
      <dgm:prSet presAssocID="{E4A1FC5A-DAB6-4D34-846B-441D1E29B65F}" presName="sibTrans" presStyleLbl="sibTrans2D1" presStyleIdx="4" presStyleCnt="5"/>
      <dgm:spPr>
        <a:prstGeom prst="rightArrow">
          <a:avLst>
            <a:gd name="adj1" fmla="val 60000"/>
            <a:gd name="adj2" fmla="val 50000"/>
          </a:avLst>
        </a:prstGeom>
      </dgm:spPr>
    </dgm:pt>
    <dgm:pt modelId="{387E30C2-257C-451F-8F4E-AC31DF06CB31}" type="pres">
      <dgm:prSet presAssocID="{E4A1FC5A-DAB6-4D34-846B-441D1E29B65F}" presName="connectorText" presStyleLbl="sibTrans2D1" presStyleIdx="4" presStyleCnt="5"/>
      <dgm:spPr/>
    </dgm:pt>
    <dgm:pt modelId="{04AB3E48-5924-41BD-8848-206A2D63F8A6}" type="pres">
      <dgm:prSet presAssocID="{40B6B2E5-7AFB-4CDA-B4B6-BE34C7F6A41D}" presName="node" presStyleLbl="node1" presStyleIdx="5" presStyleCnt="6">
        <dgm:presLayoutVars>
          <dgm:bulletEnabled val="1"/>
        </dgm:presLayoutVars>
      </dgm:prSet>
      <dgm:spPr>
        <a:prstGeom prst="roundRect">
          <a:avLst>
            <a:gd name="adj" fmla="val 10000"/>
          </a:avLst>
        </a:prstGeom>
      </dgm:spPr>
    </dgm:pt>
  </dgm:ptLst>
  <dgm:cxnLst>
    <dgm:cxn modelId="{1E011400-8CF0-4C6F-9A7E-757C503D428B}" srcId="{7D132AD1-71E9-4BA4-8FE2-A46BEB1C7696}" destId="{A621DDD7-DE10-451F-8367-283F3221BBBF}" srcOrd="0" destOrd="0" parTransId="{A9A178A6-EFF5-4DB4-902E-3633443301D0}" sibTransId="{14D3CB7E-B5A1-4E51-B7F3-A177C75A46E9}"/>
    <dgm:cxn modelId="{BE4FB314-D6E9-42C2-AAB3-6F063EF73131}" type="presOf" srcId="{6AAA7D5C-44F0-4760-850E-238776C28906}" destId="{B4608B08-72E5-48BC-A3F6-7E41E4E377C5}" srcOrd="0" destOrd="0" presId="urn:microsoft.com/office/officeart/2005/8/layout/process2"/>
    <dgm:cxn modelId="{C8F13925-CC6A-4E54-99D9-AFF2C99D99F1}" type="presOf" srcId="{40B6B2E5-7AFB-4CDA-B4B6-BE34C7F6A41D}" destId="{04AB3E48-5924-41BD-8848-206A2D63F8A6}" srcOrd="0" destOrd="0" presId="urn:microsoft.com/office/officeart/2005/8/layout/process2"/>
    <dgm:cxn modelId="{D5837131-BCC8-4812-9CF9-0FFC81BD9AFD}" type="presOf" srcId="{8DFC48B2-2E44-42B6-8867-2DB2C6D04D65}" destId="{34995248-699F-4B89-83FF-45D6ECA34C62}" srcOrd="0" destOrd="0" presId="urn:microsoft.com/office/officeart/2005/8/layout/process2"/>
    <dgm:cxn modelId="{9C47C75C-B7EE-49F7-B316-2374163FC5A9}" type="presOf" srcId="{14D3CB7E-B5A1-4E51-B7F3-A177C75A46E9}" destId="{A0B36363-A4E8-4D65-B048-26FE9080EF56}" srcOrd="1" destOrd="0" presId="urn:microsoft.com/office/officeart/2005/8/layout/process2"/>
    <dgm:cxn modelId="{35786F69-7DA4-4246-B361-5AB711D1790B}" type="presOf" srcId="{FD3FD3BB-A309-4E82-9353-46DF3140B6AA}" destId="{433C96D4-43C0-465B-857C-FAD8A9EDC235}" srcOrd="1" destOrd="0" presId="urn:microsoft.com/office/officeart/2005/8/layout/process2"/>
    <dgm:cxn modelId="{DE119E49-69EC-415D-94D1-986B37E68FF4}" srcId="{7D132AD1-71E9-4BA4-8FE2-A46BEB1C7696}" destId="{40B6B2E5-7AFB-4CDA-B4B6-BE34C7F6A41D}" srcOrd="5" destOrd="0" parTransId="{08D3C148-F9C2-4AAC-B397-7B812EB313C5}" sibTransId="{3E3ECC52-0003-43A5-9837-651EF51FE3D0}"/>
    <dgm:cxn modelId="{B0F55080-D872-4C03-9D4D-5E0FD7C6B819}" type="presOf" srcId="{A621DDD7-DE10-451F-8367-283F3221BBBF}" destId="{5AC88A19-5D29-471F-A05E-74CE39A4F70D}" srcOrd="0" destOrd="0" presId="urn:microsoft.com/office/officeart/2005/8/layout/process2"/>
    <dgm:cxn modelId="{C643A580-4DF7-4827-A4B5-459FCDE53FB1}" srcId="{7D132AD1-71E9-4BA4-8FE2-A46BEB1C7696}" destId="{A5D4B424-D114-4C8C-873A-35878583C264}" srcOrd="2" destOrd="0" parTransId="{2AE7AE58-D9E3-45CC-BF1B-1A0FF6BEA548}" sibTransId="{6C2D6193-D256-4E24-893B-030796B47099}"/>
    <dgm:cxn modelId="{3BD3138A-4E44-4163-B944-F6E9CF38D380}" type="presOf" srcId="{E4A1FC5A-DAB6-4D34-846B-441D1E29B65F}" destId="{3C454F08-6587-4ECD-BB0F-BEA518EAF9E7}" srcOrd="0" destOrd="0" presId="urn:microsoft.com/office/officeart/2005/8/layout/process2"/>
    <dgm:cxn modelId="{2D80A492-1CF4-43BA-9120-35186FACBB06}" type="presOf" srcId="{6C2D6193-D256-4E24-893B-030796B47099}" destId="{D0145D25-4871-4B58-834D-A2E434F31C8B}" srcOrd="0" destOrd="0" presId="urn:microsoft.com/office/officeart/2005/8/layout/process2"/>
    <dgm:cxn modelId="{44BBB592-534D-4BEB-934D-C82E45855CB1}" srcId="{7D132AD1-71E9-4BA4-8FE2-A46BEB1C7696}" destId="{969635C3-3DD1-4117-910B-35C72D34E83B}" srcOrd="4" destOrd="0" parTransId="{0B42FA22-8A17-4AFB-A213-6418B0CBA5D5}" sibTransId="{E4A1FC5A-DAB6-4D34-846B-441D1E29B65F}"/>
    <dgm:cxn modelId="{413689A2-13BA-45DE-A8B2-2F25E2471DCF}" type="presOf" srcId="{09FD7815-D3D4-487B-9714-4B6154285654}" destId="{4988F42C-80C7-4495-B3E3-505322D160BA}" srcOrd="0" destOrd="0" presId="urn:microsoft.com/office/officeart/2005/8/layout/process2"/>
    <dgm:cxn modelId="{CF24B5B0-55F4-45C0-BBE3-D48069513DEE}" type="presOf" srcId="{14D3CB7E-B5A1-4E51-B7F3-A177C75A46E9}" destId="{6403BD17-9799-42D5-840E-24E006E652B3}" srcOrd="0" destOrd="0" presId="urn:microsoft.com/office/officeart/2005/8/layout/process2"/>
    <dgm:cxn modelId="{28E3C4B2-D734-4C17-A9FE-D0D6885B2E39}" type="presOf" srcId="{6C2D6193-D256-4E24-893B-030796B47099}" destId="{73D69177-00EB-4C84-8758-29E47444F4BF}" srcOrd="1" destOrd="0" presId="urn:microsoft.com/office/officeart/2005/8/layout/process2"/>
    <dgm:cxn modelId="{1E2D5EC0-9D9E-4E8D-BD7E-7DB6D3BBE54F}" type="presOf" srcId="{969635C3-3DD1-4117-910B-35C72D34E83B}" destId="{5CE76AFB-E02B-48EE-A3A4-FFA6448895B0}" srcOrd="0" destOrd="0" presId="urn:microsoft.com/office/officeart/2005/8/layout/process2"/>
    <dgm:cxn modelId="{0BE61EC2-1A66-4B00-8CE0-C7C5BEB758ED}" type="presOf" srcId="{E4A1FC5A-DAB6-4D34-846B-441D1E29B65F}" destId="{387E30C2-257C-451F-8F4E-AC31DF06CB31}" srcOrd="1" destOrd="0" presId="urn:microsoft.com/office/officeart/2005/8/layout/process2"/>
    <dgm:cxn modelId="{B6AC91D8-6A9D-445B-BD2D-8B29998E55DA}" type="presOf" srcId="{A5D4B424-D114-4C8C-873A-35878583C264}" destId="{EEEE63DF-D12A-46C7-AF2F-C79667206688}" srcOrd="0" destOrd="0" presId="urn:microsoft.com/office/officeart/2005/8/layout/process2"/>
    <dgm:cxn modelId="{AE0DEBE6-E6B0-4AB3-A42D-B7F5E3AF1F34}" srcId="{7D132AD1-71E9-4BA4-8FE2-A46BEB1C7696}" destId="{8DFC48B2-2E44-42B6-8867-2DB2C6D04D65}" srcOrd="3" destOrd="0" parTransId="{40785E15-243B-4021-B8F7-EB0CCDA3DA8B}" sibTransId="{09FD7815-D3D4-487B-9714-4B6154285654}"/>
    <dgm:cxn modelId="{4BF345ED-997D-4555-8BA7-BEFCF0312CF8}" type="presOf" srcId="{FD3FD3BB-A309-4E82-9353-46DF3140B6AA}" destId="{2FEA1266-B437-45BC-AB3A-2AFCA211481C}" srcOrd="0" destOrd="0" presId="urn:microsoft.com/office/officeart/2005/8/layout/process2"/>
    <dgm:cxn modelId="{481611F1-5ACE-468C-BF97-D744816C329A}" type="presOf" srcId="{09FD7815-D3D4-487B-9714-4B6154285654}" destId="{2CDD2419-FE58-4BC6-A6C6-9F8A8B6F09F4}" srcOrd="1" destOrd="0" presId="urn:microsoft.com/office/officeart/2005/8/layout/process2"/>
    <dgm:cxn modelId="{E35D9AF1-3B49-4C90-83E9-A6CA90BB6D86}" type="presOf" srcId="{7D132AD1-71E9-4BA4-8FE2-A46BEB1C7696}" destId="{917D6625-F5D2-45C1-B3EC-0DEC1833D309}" srcOrd="0" destOrd="0" presId="urn:microsoft.com/office/officeart/2005/8/layout/process2"/>
    <dgm:cxn modelId="{A89E65F7-7AF4-4312-88E9-44D72720FD6F}" srcId="{7D132AD1-71E9-4BA4-8FE2-A46BEB1C7696}" destId="{6AAA7D5C-44F0-4760-850E-238776C28906}" srcOrd="1" destOrd="0" parTransId="{4542EAF2-5D65-4A55-84DA-6FFFD97B05AD}" sibTransId="{FD3FD3BB-A309-4E82-9353-46DF3140B6AA}"/>
    <dgm:cxn modelId="{DCE7616F-6905-41AC-A795-460AAF5C2E84}" type="presParOf" srcId="{917D6625-F5D2-45C1-B3EC-0DEC1833D309}" destId="{5AC88A19-5D29-471F-A05E-74CE39A4F70D}" srcOrd="0" destOrd="0" presId="urn:microsoft.com/office/officeart/2005/8/layout/process2"/>
    <dgm:cxn modelId="{9045EDF0-948D-47FA-9E3A-26B90913FDBB}" type="presParOf" srcId="{917D6625-F5D2-45C1-B3EC-0DEC1833D309}" destId="{6403BD17-9799-42D5-840E-24E006E652B3}" srcOrd="1" destOrd="0" presId="urn:microsoft.com/office/officeart/2005/8/layout/process2"/>
    <dgm:cxn modelId="{83473E92-1408-41EC-8504-CBBFCB52C242}" type="presParOf" srcId="{6403BD17-9799-42D5-840E-24E006E652B3}" destId="{A0B36363-A4E8-4D65-B048-26FE9080EF56}" srcOrd="0" destOrd="0" presId="urn:microsoft.com/office/officeart/2005/8/layout/process2"/>
    <dgm:cxn modelId="{C8F0D73E-C96D-402F-99E1-DE56453C5100}" type="presParOf" srcId="{917D6625-F5D2-45C1-B3EC-0DEC1833D309}" destId="{B4608B08-72E5-48BC-A3F6-7E41E4E377C5}" srcOrd="2" destOrd="0" presId="urn:microsoft.com/office/officeart/2005/8/layout/process2"/>
    <dgm:cxn modelId="{E63AD8DB-2953-471D-9C74-937E0D326F40}" type="presParOf" srcId="{917D6625-F5D2-45C1-B3EC-0DEC1833D309}" destId="{2FEA1266-B437-45BC-AB3A-2AFCA211481C}" srcOrd="3" destOrd="0" presId="urn:microsoft.com/office/officeart/2005/8/layout/process2"/>
    <dgm:cxn modelId="{6E308764-C2C3-4378-AA06-5651BE1EAA7B}" type="presParOf" srcId="{2FEA1266-B437-45BC-AB3A-2AFCA211481C}" destId="{433C96D4-43C0-465B-857C-FAD8A9EDC235}" srcOrd="0" destOrd="0" presId="urn:microsoft.com/office/officeart/2005/8/layout/process2"/>
    <dgm:cxn modelId="{35E326FB-9E37-4202-BC7C-73D708FE8E3F}" type="presParOf" srcId="{917D6625-F5D2-45C1-B3EC-0DEC1833D309}" destId="{EEEE63DF-D12A-46C7-AF2F-C79667206688}" srcOrd="4" destOrd="0" presId="urn:microsoft.com/office/officeart/2005/8/layout/process2"/>
    <dgm:cxn modelId="{7A26F3BE-F7F5-4B17-9636-0430CB45AAA1}" type="presParOf" srcId="{917D6625-F5D2-45C1-B3EC-0DEC1833D309}" destId="{D0145D25-4871-4B58-834D-A2E434F31C8B}" srcOrd="5" destOrd="0" presId="urn:microsoft.com/office/officeart/2005/8/layout/process2"/>
    <dgm:cxn modelId="{B65EBBAE-B919-440C-984F-7AEF136D6EF2}" type="presParOf" srcId="{D0145D25-4871-4B58-834D-A2E434F31C8B}" destId="{73D69177-00EB-4C84-8758-29E47444F4BF}" srcOrd="0" destOrd="0" presId="urn:microsoft.com/office/officeart/2005/8/layout/process2"/>
    <dgm:cxn modelId="{5B6FFBCA-EB97-4C81-BFEA-A1C997F57E4C}" type="presParOf" srcId="{917D6625-F5D2-45C1-B3EC-0DEC1833D309}" destId="{34995248-699F-4B89-83FF-45D6ECA34C62}" srcOrd="6" destOrd="0" presId="urn:microsoft.com/office/officeart/2005/8/layout/process2"/>
    <dgm:cxn modelId="{D9DE31FB-5B20-475D-8983-71CD50F20B19}" type="presParOf" srcId="{917D6625-F5D2-45C1-B3EC-0DEC1833D309}" destId="{4988F42C-80C7-4495-B3E3-505322D160BA}" srcOrd="7" destOrd="0" presId="urn:microsoft.com/office/officeart/2005/8/layout/process2"/>
    <dgm:cxn modelId="{424E7481-A884-4308-BF7D-8E459F896333}" type="presParOf" srcId="{4988F42C-80C7-4495-B3E3-505322D160BA}" destId="{2CDD2419-FE58-4BC6-A6C6-9F8A8B6F09F4}" srcOrd="0" destOrd="0" presId="urn:microsoft.com/office/officeart/2005/8/layout/process2"/>
    <dgm:cxn modelId="{195BE901-4C3C-4E91-8F64-73490804025F}" type="presParOf" srcId="{917D6625-F5D2-45C1-B3EC-0DEC1833D309}" destId="{5CE76AFB-E02B-48EE-A3A4-FFA6448895B0}" srcOrd="8" destOrd="0" presId="urn:microsoft.com/office/officeart/2005/8/layout/process2"/>
    <dgm:cxn modelId="{F91EB338-FCB9-4450-817B-5F02EE8AC8C1}" type="presParOf" srcId="{917D6625-F5D2-45C1-B3EC-0DEC1833D309}" destId="{3C454F08-6587-4ECD-BB0F-BEA518EAF9E7}" srcOrd="9" destOrd="0" presId="urn:microsoft.com/office/officeart/2005/8/layout/process2"/>
    <dgm:cxn modelId="{D2519F13-B652-44D0-9BC8-764156B18EE5}" type="presParOf" srcId="{3C454F08-6587-4ECD-BB0F-BEA518EAF9E7}" destId="{387E30C2-257C-451F-8F4E-AC31DF06CB31}" srcOrd="0" destOrd="0" presId="urn:microsoft.com/office/officeart/2005/8/layout/process2"/>
    <dgm:cxn modelId="{41B11D2C-C9F3-494D-B23B-54160B3A1227}" type="presParOf" srcId="{917D6625-F5D2-45C1-B3EC-0DEC1833D309}" destId="{04AB3E48-5924-41BD-8848-206A2D63F8A6}"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C88A19-5D29-471F-A05E-74CE39A4F70D}">
      <dsp:nvSpPr>
        <dsp:cNvPr id="0" name=""/>
        <dsp:cNvSpPr/>
      </dsp:nvSpPr>
      <dsp:spPr>
        <a:xfrm>
          <a:off x="63756" y="1220"/>
          <a:ext cx="1446651" cy="36166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TW" altLang="en-US" sz="1300" kern="1200">
              <a:solidFill>
                <a:sysClr val="window" lastClr="FFFFFF"/>
              </a:solidFill>
              <a:latin typeface="Calibri"/>
              <a:ea typeface="新細明體"/>
              <a:cs typeface="+mn-cs"/>
            </a:rPr>
            <a:t>化學反應</a:t>
          </a:r>
        </a:p>
      </dsp:txBody>
      <dsp:txXfrm>
        <a:off x="74349" y="11813"/>
        <a:ext cx="1425465" cy="340476"/>
      </dsp:txXfrm>
    </dsp:sp>
    <dsp:sp modelId="{6403BD17-9799-42D5-840E-24E006E652B3}">
      <dsp:nvSpPr>
        <dsp:cNvPr id="0" name=""/>
        <dsp:cNvSpPr/>
      </dsp:nvSpPr>
      <dsp:spPr>
        <a:xfrm rot="5400000">
          <a:off x="719270" y="371924"/>
          <a:ext cx="135623" cy="162748"/>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 lastClr="FFFFFF"/>
            </a:solidFill>
            <a:latin typeface="Calibri"/>
            <a:ea typeface="新細明體"/>
            <a:cs typeface="+mn-cs"/>
          </a:endParaRPr>
        </a:p>
      </dsp:txBody>
      <dsp:txXfrm rot="-5400000">
        <a:off x="738258" y="385487"/>
        <a:ext cx="97648" cy="94936"/>
      </dsp:txXfrm>
    </dsp:sp>
    <dsp:sp modelId="{B4608B08-72E5-48BC-A3F6-7E41E4E377C5}">
      <dsp:nvSpPr>
        <dsp:cNvPr id="0" name=""/>
        <dsp:cNvSpPr/>
      </dsp:nvSpPr>
      <dsp:spPr>
        <a:xfrm>
          <a:off x="63756" y="543714"/>
          <a:ext cx="1446651" cy="36166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TW" altLang="en-US" sz="1300" kern="1200">
              <a:solidFill>
                <a:sysClr val="window" lastClr="FFFFFF"/>
              </a:solidFill>
              <a:latin typeface="Calibri"/>
              <a:ea typeface="新細明體"/>
              <a:cs typeface="+mn-cs"/>
            </a:rPr>
            <a:t>氧化與還原</a:t>
          </a:r>
        </a:p>
      </dsp:txBody>
      <dsp:txXfrm>
        <a:off x="74349" y="554307"/>
        <a:ext cx="1425465" cy="340476"/>
      </dsp:txXfrm>
    </dsp:sp>
    <dsp:sp modelId="{2FEA1266-B437-45BC-AB3A-2AFCA211481C}">
      <dsp:nvSpPr>
        <dsp:cNvPr id="0" name=""/>
        <dsp:cNvSpPr/>
      </dsp:nvSpPr>
      <dsp:spPr>
        <a:xfrm rot="5400000">
          <a:off x="719270" y="914419"/>
          <a:ext cx="135623" cy="162748"/>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 lastClr="FFFFFF"/>
            </a:solidFill>
            <a:latin typeface="Calibri"/>
            <a:ea typeface="新細明體"/>
            <a:cs typeface="+mn-cs"/>
          </a:endParaRPr>
        </a:p>
      </dsp:txBody>
      <dsp:txXfrm rot="-5400000">
        <a:off x="738258" y="927982"/>
        <a:ext cx="97648" cy="94936"/>
      </dsp:txXfrm>
    </dsp:sp>
    <dsp:sp modelId="{EEEE63DF-D12A-46C7-AF2F-C79667206688}">
      <dsp:nvSpPr>
        <dsp:cNvPr id="0" name=""/>
        <dsp:cNvSpPr/>
      </dsp:nvSpPr>
      <dsp:spPr>
        <a:xfrm>
          <a:off x="63756" y="1086208"/>
          <a:ext cx="1446651" cy="36166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TW" altLang="en-US" sz="1300" kern="1200">
              <a:solidFill>
                <a:sysClr val="window" lastClr="FFFFFF"/>
              </a:solidFill>
              <a:latin typeface="Calibri"/>
              <a:ea typeface="新細明體"/>
              <a:cs typeface="+mn-cs"/>
            </a:rPr>
            <a:t>電解質與酸鹼反應</a:t>
          </a:r>
        </a:p>
      </dsp:txBody>
      <dsp:txXfrm>
        <a:off x="74349" y="1096801"/>
        <a:ext cx="1425465" cy="340476"/>
      </dsp:txXfrm>
    </dsp:sp>
    <dsp:sp modelId="{D0145D25-4871-4B58-834D-A2E434F31C8B}">
      <dsp:nvSpPr>
        <dsp:cNvPr id="0" name=""/>
        <dsp:cNvSpPr/>
      </dsp:nvSpPr>
      <dsp:spPr>
        <a:xfrm rot="5400000">
          <a:off x="719270" y="1456913"/>
          <a:ext cx="135623" cy="162748"/>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 lastClr="FFFFFF"/>
            </a:solidFill>
            <a:latin typeface="Calibri"/>
            <a:ea typeface="新細明體"/>
            <a:cs typeface="+mn-cs"/>
          </a:endParaRPr>
        </a:p>
      </dsp:txBody>
      <dsp:txXfrm rot="-5400000">
        <a:off x="738258" y="1470476"/>
        <a:ext cx="97648" cy="94936"/>
      </dsp:txXfrm>
    </dsp:sp>
    <dsp:sp modelId="{34995248-699F-4B89-83FF-45D6ECA34C62}">
      <dsp:nvSpPr>
        <dsp:cNvPr id="0" name=""/>
        <dsp:cNvSpPr/>
      </dsp:nvSpPr>
      <dsp:spPr>
        <a:xfrm>
          <a:off x="63756" y="1628703"/>
          <a:ext cx="1446651" cy="36166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TW" altLang="en-US" sz="1300" kern="1200">
              <a:solidFill>
                <a:sysClr val="window" lastClr="FFFFFF"/>
              </a:solidFill>
              <a:latin typeface="Calibri"/>
              <a:ea typeface="新細明體"/>
              <a:cs typeface="+mn-cs"/>
            </a:rPr>
            <a:t>反應速率與平衡</a:t>
          </a:r>
          <a:endParaRPr lang="en-US" altLang="zh-TW" sz="1300" kern="1200">
            <a:solidFill>
              <a:sysClr val="window" lastClr="FFFFFF"/>
            </a:solidFill>
            <a:latin typeface="Calibri"/>
            <a:ea typeface="新細明體"/>
            <a:cs typeface="+mn-cs"/>
          </a:endParaRPr>
        </a:p>
      </dsp:txBody>
      <dsp:txXfrm>
        <a:off x="74349" y="1639296"/>
        <a:ext cx="1425465" cy="340476"/>
      </dsp:txXfrm>
    </dsp:sp>
    <dsp:sp modelId="{4988F42C-80C7-4495-B3E3-505322D160BA}">
      <dsp:nvSpPr>
        <dsp:cNvPr id="0" name=""/>
        <dsp:cNvSpPr/>
      </dsp:nvSpPr>
      <dsp:spPr>
        <a:xfrm rot="5400000">
          <a:off x="719270" y="1999407"/>
          <a:ext cx="135623" cy="162748"/>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 lastClr="FFFFFF"/>
            </a:solidFill>
            <a:latin typeface="Calibri"/>
            <a:ea typeface="新細明體"/>
            <a:cs typeface="+mn-cs"/>
          </a:endParaRPr>
        </a:p>
      </dsp:txBody>
      <dsp:txXfrm rot="-5400000">
        <a:off x="738258" y="2012970"/>
        <a:ext cx="97648" cy="94936"/>
      </dsp:txXfrm>
    </dsp:sp>
    <dsp:sp modelId="{5CE76AFB-E02B-48EE-A3A4-FFA6448895B0}">
      <dsp:nvSpPr>
        <dsp:cNvPr id="0" name=""/>
        <dsp:cNvSpPr/>
      </dsp:nvSpPr>
      <dsp:spPr>
        <a:xfrm>
          <a:off x="63756" y="2171197"/>
          <a:ext cx="1446651" cy="36166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TW" altLang="en-US" sz="1300" kern="1200">
              <a:solidFill>
                <a:sysClr val="window" lastClr="FFFFFF"/>
              </a:solidFill>
              <a:latin typeface="Calibri"/>
              <a:ea typeface="新細明體"/>
              <a:cs typeface="+mn-cs"/>
            </a:rPr>
            <a:t>有機化合物</a:t>
          </a:r>
          <a:endParaRPr lang="en-US" altLang="zh-TW" sz="1300" kern="1200">
            <a:solidFill>
              <a:sysClr val="window" lastClr="FFFFFF"/>
            </a:solidFill>
            <a:latin typeface="Calibri"/>
            <a:ea typeface="新細明體"/>
            <a:cs typeface="+mn-cs"/>
          </a:endParaRPr>
        </a:p>
      </dsp:txBody>
      <dsp:txXfrm>
        <a:off x="74349" y="2181790"/>
        <a:ext cx="1425465" cy="340476"/>
      </dsp:txXfrm>
    </dsp:sp>
    <dsp:sp modelId="{3C454F08-6587-4ECD-BB0F-BEA518EAF9E7}">
      <dsp:nvSpPr>
        <dsp:cNvPr id="0" name=""/>
        <dsp:cNvSpPr/>
      </dsp:nvSpPr>
      <dsp:spPr>
        <a:xfrm rot="5400000">
          <a:off x="719270" y="2541901"/>
          <a:ext cx="135623" cy="162748"/>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ysClr val="window" lastClr="FFFFFF"/>
            </a:solidFill>
            <a:latin typeface="Calibri"/>
            <a:ea typeface="新細明體"/>
            <a:cs typeface="+mn-cs"/>
          </a:endParaRPr>
        </a:p>
      </dsp:txBody>
      <dsp:txXfrm rot="-5400000">
        <a:off x="738258" y="2555464"/>
        <a:ext cx="97648" cy="94936"/>
      </dsp:txXfrm>
    </dsp:sp>
    <dsp:sp modelId="{04AB3E48-5924-41BD-8848-206A2D63F8A6}">
      <dsp:nvSpPr>
        <dsp:cNvPr id="0" name=""/>
        <dsp:cNvSpPr/>
      </dsp:nvSpPr>
      <dsp:spPr>
        <a:xfrm>
          <a:off x="63756" y="2713691"/>
          <a:ext cx="1446651" cy="36166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TW" altLang="en-US" sz="1300" kern="1200">
              <a:solidFill>
                <a:sysClr val="window" lastClr="FFFFFF"/>
              </a:solidFill>
              <a:latin typeface="Calibri"/>
              <a:ea typeface="新細明體"/>
              <a:cs typeface="+mn-cs"/>
            </a:rPr>
            <a:t>力與壓力</a:t>
          </a:r>
          <a:endParaRPr lang="en-US" altLang="zh-TW" sz="1300" kern="1200">
            <a:solidFill>
              <a:sysClr val="window" lastClr="FFFFFF"/>
            </a:solidFill>
            <a:latin typeface="Calibri"/>
            <a:ea typeface="新細明體"/>
            <a:cs typeface="+mn-cs"/>
          </a:endParaRPr>
        </a:p>
      </dsp:txBody>
      <dsp:txXfrm>
        <a:off x="74349" y="2724284"/>
        <a:ext cx="1425465" cy="3404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6393</Words>
  <Characters>36443</Characters>
  <Application>Microsoft Office Word</Application>
  <DocSecurity>0</DocSecurity>
  <Lines>303</Lines>
  <Paragraphs>85</Paragraphs>
  <ScaleCrop>false</ScaleCrop>
  <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s9906</cp:lastModifiedBy>
  <cp:revision>3</cp:revision>
  <cp:lastPrinted>2018-01-22T02:48:00Z</cp:lastPrinted>
  <dcterms:created xsi:type="dcterms:W3CDTF">2020-07-29T04:32:00Z</dcterms:created>
  <dcterms:modified xsi:type="dcterms:W3CDTF">2020-07-29T04:34:00Z</dcterms:modified>
</cp:coreProperties>
</file>