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C3" w:rsidRPr="00EB6EC3" w:rsidRDefault="00EB6EC3" w:rsidP="00EB6EC3">
      <w:pPr>
        <w:rPr>
          <w:rFonts w:ascii="Baskerville Old Face" w:eastAsia="標楷體" w:hAnsi="Baskerville Old Face" w:cs="Baskerville Old Face"/>
          <w:color w:val="000000"/>
          <w:sz w:val="28"/>
          <w:szCs w:val="24"/>
        </w:rPr>
      </w:pP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嘉義縣豐山實驗教育學校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107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學年度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第二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學期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</w:t>
      </w:r>
      <w:r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八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年級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國文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領域課程計畫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                     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設計者：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黃怡靜</w:t>
      </w:r>
    </w:p>
    <w:p w:rsidR="00EB6EC3" w:rsidRP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000000"/>
          <w:szCs w:val="24"/>
        </w:rPr>
      </w:pPr>
      <w:r w:rsidRPr="00EB6EC3">
        <w:rPr>
          <w:rFonts w:ascii="標楷體" w:eastAsia="標楷體" w:hAnsi="標楷體" w:cs="Baskerville Old Face" w:hint="eastAsia"/>
          <w:color w:val="000000"/>
          <w:szCs w:val="24"/>
        </w:rPr>
        <w:t>跨年級領域教學說明：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8225"/>
      </w:tblGrid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領域名稱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國文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授課教師姓名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黃怡靜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實施期程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每班授課教師人數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1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分班方式說明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無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混齡教學內容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after="9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B6EC3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</w:tbl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000000"/>
          <w:szCs w:val="24"/>
        </w:rPr>
      </w:pPr>
      <w:r w:rsidRPr="00EB6EC3">
        <w:rPr>
          <w:rFonts w:ascii="標楷體" w:eastAsia="標楷體" w:hAnsi="標楷體" w:cs="Baskerville Old Face" w:hint="eastAsia"/>
          <w:color w:val="000000"/>
          <w:szCs w:val="24"/>
        </w:rPr>
        <w:t>本領域每週學習節數（5）節，實際共（100）節。</w:t>
      </w:r>
    </w:p>
    <w:p w:rsidR="00EB6EC3" w:rsidRP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000000"/>
          <w:szCs w:val="24"/>
        </w:rPr>
      </w:pPr>
      <w:r w:rsidRPr="00EB6EC3">
        <w:rPr>
          <w:rFonts w:ascii="標楷體" w:eastAsia="標楷體" w:hAnsi="標楷體" w:cs="Baskerville Old Face"/>
          <w:color w:val="000000"/>
          <w:szCs w:val="24"/>
        </w:rPr>
        <w:t>本學期學習目標：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1.</w:t>
      </w:r>
      <w:r w:rsidR="00DA12BA" w:rsidRPr="00DA12BA">
        <w:rPr>
          <w:rFonts w:ascii="新細明體" w:hAnsi="新細明體" w:hint="eastAsia"/>
          <w:b/>
          <w:color w:val="000000"/>
          <w:sz w:val="20"/>
          <w:szCs w:val="20"/>
        </w:rPr>
        <w:t xml:space="preserve"> </w:t>
      </w:r>
      <w:r w:rsidR="00DA12BA">
        <w:rPr>
          <w:rFonts w:ascii="新細明體" w:hAnsi="新細明體" w:hint="eastAsia"/>
          <w:b/>
          <w:color w:val="000000"/>
          <w:sz w:val="20"/>
          <w:szCs w:val="20"/>
        </w:rPr>
        <w:t>一棵開花的樹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:能了解新詩的體裁、能知道作者生平、能體會詩意內涵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2.</w:t>
      </w:r>
      <w:r w:rsidR="00DA12BA" w:rsidRPr="00DA12BA">
        <w:rPr>
          <w:rFonts w:ascii="新細明體" w:hAnsi="新細明體" w:hint="eastAsia"/>
          <w:b/>
          <w:color w:val="000000"/>
          <w:sz w:val="20"/>
          <w:szCs w:val="20"/>
        </w:rPr>
        <w:t xml:space="preserve"> </w:t>
      </w:r>
      <w:r w:rsidR="00DA12BA">
        <w:rPr>
          <w:rFonts w:ascii="新細明體" w:hAnsi="新細明體" w:hint="eastAsia"/>
          <w:b/>
          <w:color w:val="000000"/>
          <w:sz w:val="20"/>
          <w:szCs w:val="20"/>
        </w:rPr>
        <w:t>我所知道的康橋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</w:t>
      </w:r>
      <w:r w:rsidR="00DA12BA" w:rsidRPr="00DA12BA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 xml:space="preserve"> </w:t>
      </w:r>
      <w:r w:rsidR="00DA12BA"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能了解</w:t>
      </w:r>
      <w:r w:rsidR="00DA12BA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抒情文</w:t>
      </w:r>
      <w:r w:rsidR="00DA12BA"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的體裁、能知道作者生平、能體會其內涵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3.</w:t>
      </w:r>
      <w:r w:rsidR="00DA12BA" w:rsidRPr="00DA12BA">
        <w:rPr>
          <w:rFonts w:ascii="新細明體" w:hAnsi="新細明體" w:hint="eastAsia"/>
          <w:b/>
          <w:color w:val="000000"/>
          <w:sz w:val="20"/>
          <w:szCs w:val="20"/>
        </w:rPr>
        <w:t xml:space="preserve"> </w:t>
      </w:r>
      <w:r w:rsidR="00DA12BA">
        <w:rPr>
          <w:rFonts w:ascii="新細明體" w:hAnsi="新細明體" w:hint="eastAsia"/>
          <w:b/>
          <w:color w:val="000000"/>
          <w:sz w:val="20"/>
          <w:szCs w:val="20"/>
        </w:rPr>
        <w:t>陋室銘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:能了解</w:t>
      </w:r>
      <w:r w:rsidR="00DA12BA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其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的體裁、能知道作者生平、能體會其內涵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4.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DA12BA">
        <w:rPr>
          <w:rFonts w:ascii="新細明體" w:hAnsi="新細明體" w:hint="eastAsia"/>
          <w:b/>
          <w:color w:val="000000"/>
          <w:sz w:val="20"/>
          <w:szCs w:val="20"/>
        </w:rPr>
        <w:t>幽夢影選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:能了借事抒情說理、能知道作者生平、能體會作者深意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5.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946273">
        <w:rPr>
          <w:rFonts w:ascii="新細明體" w:hAnsi="新細明體" w:hint="eastAsia"/>
          <w:b/>
          <w:color w:val="000000"/>
          <w:sz w:val="20"/>
          <w:szCs w:val="20"/>
        </w:rPr>
        <w:t>木蘭詩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</w:t>
      </w:r>
      <w:r w:rsidR="00946273" w:rsidRPr="0094627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 xml:space="preserve"> </w:t>
      </w:r>
      <w:r w:rsidR="0094627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能了解樂府</w:t>
      </w:r>
      <w:r w:rsidR="00946273"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詩的體裁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、能體會其含意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6.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BC545A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>人生需求愈少，負擔越輕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:能知道作者生平、能體會其內涵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7.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CD2312">
        <w:rPr>
          <w:rFonts w:ascii="新細明體" w:hAnsi="新細明體" w:hint="eastAsia"/>
          <w:b/>
          <w:color w:val="000000"/>
          <w:sz w:val="20"/>
          <w:szCs w:val="20"/>
        </w:rPr>
        <w:t>森林最優美的一天</w:t>
      </w:r>
      <w:r w:rsidR="00CD2312">
        <w:rPr>
          <w:rFonts w:ascii="新細明體" w:hAnsi="新細明體" w:hint="eastAsia"/>
          <w:b/>
          <w:color w:val="000000"/>
          <w:sz w:val="20"/>
          <w:szCs w:val="20"/>
        </w:rPr>
        <w:t xml:space="preserve"> 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:能了解抒情文的體裁、能知道作者生平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ab/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8.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CD2312">
        <w:rPr>
          <w:rFonts w:ascii="新細明體" w:hAnsi="新細明體" w:hint="eastAsia"/>
          <w:b/>
          <w:color w:val="000000"/>
          <w:sz w:val="20"/>
          <w:szCs w:val="20"/>
        </w:rPr>
        <w:t>定伯賣鬼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:能了解寓言的體裁、能體會其用意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9.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DA6778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>來到部落的文明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:能了解</w:t>
      </w:r>
      <w:r w:rsidR="00DA6778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其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的體裁、能知道作者生平、能體會生命內涵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10.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CD2312">
        <w:rPr>
          <w:rFonts w:ascii="新細明體" w:hAnsi="新細明體" w:hint="eastAsia"/>
          <w:b/>
          <w:color w:val="000000"/>
          <w:sz w:val="20"/>
          <w:szCs w:val="20"/>
        </w:rPr>
        <w:t>為學一首示子姪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:能知道作者生平、能體會勤勞必有成就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11.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DA6778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>空城計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:能了解文言文、能知道作者生平、能體會童趣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spacing w:line="0" w:lineRule="atLeast"/>
        <w:ind w:leftChars="200" w:left="480"/>
        <w:jc w:val="both"/>
        <w:rPr>
          <w:rFonts w:ascii="標楷體" w:eastAsia="標楷體" w:hAnsi="標楷體" w:cs="Baskerville Old Face"/>
          <w:snapToGrid w:val="0"/>
          <w:kern w:val="0"/>
          <w:szCs w:val="24"/>
        </w:rPr>
      </w:pP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12.</w:t>
      </w:r>
      <w:r w:rsidRPr="00EB6EC3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 xml:space="preserve"> </w:t>
      </w:r>
      <w:r w:rsidR="00DA6778">
        <w:rPr>
          <w:rFonts w:ascii="新細明體" w:eastAsia="新細明體" w:hAnsi="新細明體" w:cs="Baskerville Old Face" w:hint="eastAsia"/>
          <w:b/>
          <w:color w:val="000000"/>
          <w:sz w:val="20"/>
          <w:szCs w:val="20"/>
        </w:rPr>
        <w:t>科幻極短篇選</w:t>
      </w:r>
      <w:r w:rsidRPr="00EB6EC3">
        <w:rPr>
          <w:rFonts w:ascii="新細明體" w:eastAsia="新細明體" w:hAnsi="新細明體" w:cs="Baskerville Old Face" w:hint="eastAsia"/>
          <w:color w:val="000000"/>
          <w:sz w:val="20"/>
          <w:szCs w:val="20"/>
        </w:rPr>
        <w:t>:能知道作者生平、能體會其內涵</w:t>
      </w:r>
      <w:r w:rsidRPr="00EB6EC3">
        <w:rPr>
          <w:rFonts w:ascii="標楷體" w:eastAsia="標楷體" w:hAnsi="標楷體" w:cs="Baskerville Old Face" w:hint="eastAsia"/>
          <w:snapToGrid w:val="0"/>
          <w:kern w:val="0"/>
          <w:szCs w:val="24"/>
        </w:rPr>
        <w:t>。</w:t>
      </w:r>
    </w:p>
    <w:p w:rsidR="00EB6EC3" w:rsidRP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FF9900"/>
          <w:szCs w:val="24"/>
        </w:rPr>
      </w:pPr>
      <w:r w:rsidRPr="00EB6EC3">
        <w:rPr>
          <w:rFonts w:ascii="標楷體" w:eastAsia="標楷體" w:hAnsi="標楷體" w:cs="Baskerville Old Face"/>
          <w:color w:val="000000"/>
          <w:szCs w:val="24"/>
        </w:rPr>
        <w:br w:type="page"/>
      </w:r>
      <w:r w:rsidRPr="00EB6EC3">
        <w:rPr>
          <w:rFonts w:ascii="標楷體" w:eastAsia="標楷體" w:hAnsi="標楷體" w:cs="Baskerville Old Face"/>
          <w:szCs w:val="24"/>
        </w:rPr>
        <w:lastRenderedPageBreak/>
        <w:t>本學期課程內涵</w:t>
      </w:r>
      <w:r w:rsidRPr="00EB6EC3">
        <w:rPr>
          <w:rFonts w:ascii="標楷體" w:eastAsia="標楷體" w:hAnsi="標楷體" w:cs="Baskerville Old Face" w:hint="eastAsia"/>
          <w:szCs w:val="24"/>
        </w:rPr>
        <w:t>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237"/>
        <w:gridCol w:w="3544"/>
        <w:gridCol w:w="567"/>
        <w:gridCol w:w="1276"/>
        <w:gridCol w:w="1559"/>
        <w:gridCol w:w="706"/>
      </w:tblGrid>
      <w:tr w:rsidR="00EB6EC3" w:rsidRPr="00EB6EC3" w:rsidTr="00C413D5">
        <w:tc>
          <w:tcPr>
            <w:tcW w:w="737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教學期程</w:t>
            </w:r>
          </w:p>
        </w:tc>
        <w:tc>
          <w:tcPr>
            <w:tcW w:w="6237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領域及議題</w:t>
            </w: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能力指標</w:t>
            </w:r>
          </w:p>
        </w:tc>
        <w:tc>
          <w:tcPr>
            <w:tcW w:w="3544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pacing w:val="-10"/>
                <w:szCs w:val="24"/>
              </w:rPr>
              <w:t>主題或</w:t>
            </w:r>
            <w:r w:rsidRPr="00EB6EC3">
              <w:rPr>
                <w:rFonts w:ascii="標楷體" w:eastAsia="標楷體" w:hAnsi="標楷體" w:cs="Baskerville Old Face"/>
                <w:color w:val="000000"/>
                <w:spacing w:val="-10"/>
                <w:szCs w:val="24"/>
              </w:rPr>
              <w:t>單元</w:t>
            </w:r>
            <w:r w:rsidRPr="00EB6EC3">
              <w:rPr>
                <w:rFonts w:ascii="標楷體" w:eastAsia="標楷體" w:hAnsi="標楷體" w:cs="Baskerville Old Face" w:hint="eastAsia"/>
                <w:color w:val="000000"/>
                <w:spacing w:val="-10"/>
                <w:szCs w:val="24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EB6EC3" w:rsidRPr="00EB6EC3" w:rsidRDefault="00EB6EC3" w:rsidP="00EB6EC3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使用教材</w:t>
            </w:r>
          </w:p>
        </w:tc>
        <w:tc>
          <w:tcPr>
            <w:tcW w:w="1559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評量方式</w:t>
            </w:r>
          </w:p>
        </w:tc>
        <w:tc>
          <w:tcPr>
            <w:tcW w:w="706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備註</w:t>
            </w: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6EC3">
              <w:rPr>
                <w:rFonts w:ascii="Times New Roman" w:eastAsia="標楷體" w:hAnsi="Times New Roman" w:cs="Times New Roman"/>
                <w:szCs w:val="24"/>
              </w:rPr>
              <w:t>4-4-1</w:t>
            </w:r>
            <w:r w:rsidRPr="00EB6EC3">
              <w:rPr>
                <w:rFonts w:ascii="Times New Roman" w:eastAsia="標楷體" w:hAnsi="Times New Roman" w:cs="Times New Roman"/>
                <w:spacing w:val="-12"/>
                <w:w w:val="95"/>
                <w:szCs w:val="24"/>
              </w:rPr>
              <w:t>能認識常用</w:t>
            </w:r>
            <w:r w:rsidRPr="00EB6EC3">
              <w:rPr>
                <w:rFonts w:ascii="Times New Roman" w:eastAsia="標楷體" w:hAnsi="Times New Roman" w:cs="Times New Roman" w:hint="eastAsia"/>
                <w:spacing w:val="-12"/>
                <w:w w:val="95"/>
                <w:szCs w:val="24"/>
              </w:rPr>
              <w:t>國</w:t>
            </w:r>
            <w:r w:rsidRPr="00EB6EC3">
              <w:rPr>
                <w:rFonts w:ascii="Times New Roman" w:eastAsia="標楷體" w:hAnsi="Times New Roman" w:cs="Times New Roman"/>
                <w:spacing w:val="-12"/>
                <w:w w:val="95"/>
                <w:szCs w:val="24"/>
              </w:rPr>
              <w:t>字</w:t>
            </w:r>
            <w:r w:rsidRPr="00EB6EC3">
              <w:rPr>
                <w:rFonts w:ascii="Times New Roman" w:eastAsia="標楷體" w:hAnsi="Times New Roman" w:cs="Times New Roman"/>
                <w:spacing w:val="-12"/>
                <w:szCs w:val="24"/>
              </w:rPr>
              <w:t>3,500-4,500</w:t>
            </w:r>
            <w:r w:rsidRPr="00EB6EC3">
              <w:rPr>
                <w:rFonts w:ascii="Times New Roman" w:eastAsia="標楷體" w:hAnsi="Times New Roman" w:cs="Times New Roman"/>
                <w:spacing w:val="-12"/>
                <w:szCs w:val="24"/>
              </w:rPr>
              <w:t>字。</w:t>
            </w:r>
          </w:p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Times New Roman" w:eastAsia="標楷體" w:hAnsi="Times New Roman" w:cs="Times New Roman"/>
                  <w:szCs w:val="24"/>
                </w:rPr>
                <w:t>4-4-1</w:t>
              </w:r>
            </w:smartTag>
            <w:r w:rsidRPr="00EB6EC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B6EC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B6EC3">
              <w:rPr>
                <w:rFonts w:ascii="Times New Roman" w:eastAsia="標楷體" w:hAnsi="Times New Roman" w:cs="Times New Roman"/>
                <w:szCs w:val="24"/>
              </w:rPr>
              <w:t>能概略瞭解文字的結構，理解文字的字義。</w:t>
            </w:r>
          </w:p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EB6EC3">
                <w:rPr>
                  <w:rFonts w:ascii="Times New Roman" w:eastAsia="標楷體" w:hAnsi="Times New Roman" w:cs="Times New Roman"/>
                  <w:szCs w:val="24"/>
                </w:rPr>
                <w:t>4-4-3</w:t>
              </w:r>
            </w:smartTag>
            <w:r w:rsidRPr="00EB6EC3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EB6EC3">
              <w:rPr>
                <w:rFonts w:ascii="Times New Roman" w:eastAsia="標楷體" w:hAnsi="Times New Roman" w:cs="Times New Roman"/>
                <w:szCs w:val="24"/>
              </w:rPr>
              <w:t>能透過模仿，寫出正確、美觀的硬筆字。</w:t>
            </w:r>
          </w:p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4"/>
              </w:smartTagPr>
              <w:r w:rsidRPr="00EB6EC3">
                <w:rPr>
                  <w:rFonts w:ascii="Times New Roman" w:eastAsia="標楷體" w:hAnsi="Times New Roman" w:cs="Times New Roman"/>
                  <w:szCs w:val="24"/>
                </w:rPr>
                <w:t>4-4-4</w:t>
              </w:r>
            </w:smartTag>
            <w:r w:rsidRPr="00EB6EC3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EB6EC3">
              <w:rPr>
                <w:rFonts w:ascii="Calibri" w:eastAsia="標楷體" w:hAnsi="Calibri" w:cs="Times New Roman"/>
              </w:rPr>
              <w:t>能因應不同的場合，用不同的書寫工具，表現不同的書寫風格</w:t>
            </w:r>
            <w:r w:rsidRPr="00EB6EC3">
              <w:rPr>
                <w:rFonts w:ascii="Calibri" w:eastAsia="標楷體" w:hAnsi="Calibri" w:cs="Times New Roman"/>
              </w:rPr>
              <w:t>(</w:t>
            </w:r>
            <w:r w:rsidRPr="00EB6EC3">
              <w:rPr>
                <w:rFonts w:ascii="Calibri" w:eastAsia="標楷體" w:hAnsi="Calibri" w:cs="Times New Roman"/>
              </w:rPr>
              <w:t>如：海報、廣告等</w:t>
            </w:r>
            <w:r w:rsidRPr="00EB6EC3">
              <w:rPr>
                <w:rFonts w:ascii="Calibri" w:eastAsia="標楷體" w:hAnsi="Calibri" w:cs="Times New Roman"/>
              </w:rPr>
              <w:t>)</w:t>
            </w:r>
            <w:r w:rsidRPr="00EB6EC3">
              <w:rPr>
                <w:rFonts w:ascii="Calibri" w:eastAsia="標楷體" w:hAnsi="Calibri" w:cs="Times New Roman"/>
              </w:rPr>
              <w:t>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B6BA9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第一課</w:t>
            </w: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一棵開花的樹</w:t>
            </w:r>
          </w:p>
          <w:p w:rsidR="00DA12BA" w:rsidRPr="00D115F4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(文體介紹+作者介紹+文意提問+課文深究+詩的欣賞創作)</w:t>
            </w:r>
            <w:r w:rsidRPr="00D115F4">
              <w:rPr>
                <w:rFonts w:ascii="新細明體" w:hAnsi="新細明體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napToGrid w:val="0"/>
                <w:kern w:val="0"/>
                <w:szCs w:val="24"/>
              </w:rPr>
              <w:t>自編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能欣賞作品的寫作風格、特色及修辭技巧。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-1能瞭解並詮釋作者所欲傳達的訊息，進行對話。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-2能分辨不同文類寫作的特質和要求。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-3能經由朗讀、美讀及吟唱作品，體會文學的美感。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-4能欣賞作品的內涵及文章結構。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第四課幽夢影選</w:t>
            </w:r>
          </w:p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(課文講解提問+課文深究鑑賞+延伸閱讀)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能欣賞作品的寫作風格、特色及修辭技巧。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-1能瞭解並詮釋作者所欲傳達的訊息，進行對話。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-2能分辨不同文類寫作的特質和要求。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-3能經由朗讀、美讀及吟唱作品，體會文學的美感。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-4能欣賞作品的內涵及文章結構。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第四課幽夢影選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(課文講解提問+課文深究鑑賞+延伸閱讀)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176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5-4-2-1能具體陳述個人對文章的思維，表達不同意見。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-2能活用不同閱讀策略，提升學習效果。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5-4-2-4能從閱讀過程中發展系統性思考。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-5能依據文章內容，進行推測、歸納、總結。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第三課：我所知道的康橋</w:t>
            </w:r>
          </w:p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(作者介紹+文意提問深究+文章結構分析+多元觀點建構)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983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5-3-10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能思考並體會文章中解決問題的過程。 </w:t>
            </w:r>
          </w:p>
          <w:p w:rsidR="00DA12BA" w:rsidRPr="00EB6EC3" w:rsidRDefault="00DA12BA" w:rsidP="00DA12BA">
            <w:pPr>
              <w:ind w:left="57"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B6EC3">
              <w:rPr>
                <w:rFonts w:ascii="標楷體" w:eastAsia="標楷體" w:hAnsi="標楷體" w:cs="Times New Roman" w:hint="eastAsia"/>
                <w:szCs w:val="24"/>
              </w:rPr>
              <w:t>5-3-10-1能夠思考和批判文章的內容。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第二課：陋室銘</w:t>
            </w:r>
          </w:p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125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 xml:space="preserve">能經由觀摩、分享與欣賞，培養良好的寫作態度與興趣。 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-1能在口述作文和筆述作文中，培養豐富的想像力。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-2能相互觀摩作品。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-3能經由作品欣賞、朗讀、美讀等方式，培養寫作的興趣。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r w:rsidRPr="00F55769">
              <w:rPr>
                <w:rFonts w:ascii="標楷體" w:eastAsia="標楷體" w:hAnsi="標楷體" w:cs="Times New Roman" w:hint="eastAsia"/>
                <w:szCs w:val="20"/>
              </w:rPr>
              <w:t xml:space="preserve">6-1-4能練習運用各種表達方式習寫作文。 </w:t>
            </w:r>
          </w:p>
          <w:p w:rsidR="00DA12BA" w:rsidRPr="00EB6EC3" w:rsidRDefault="00F55769" w:rsidP="00F55769">
            <w:pPr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6-1-4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-1能利用卡片寫作，傳達對他人的關心。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語文常識一：書信便條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5-4-7能主動思考與探索，統整閱讀的內容，並轉化為日常生活解決問題的能力。 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-1能共同討論閱讀的內容，交換心得。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-2能統整閱讀的書籍或資料，並養成主動探索研究的能力。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-3能從閱讀中蒐集、整理及分析資料，並依循線索，解決問題。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-4能將閱讀內容，思考轉化為日常生活中解決問題的能力。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667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能配合語言情境，理解字詞和文意間的轉化。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-1能依不同的語言情境，把閱讀獲得的資訊，轉化為溝通分享的材料，正確的表情達意。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</w:p>
        </w:tc>
        <w:tc>
          <w:tcPr>
            <w:tcW w:w="3544" w:type="dxa"/>
            <w:shd w:val="clear" w:color="auto" w:fill="FFC000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第一次段考+考後檢討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FF0000"/>
                <w:szCs w:val="24"/>
              </w:rPr>
              <w:t>(第一次段考)</w:t>
            </w: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-2能主動閱讀不同文類的文學作品。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-3能主動閱讀不同題材的文學作品。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-4能將閱讀材料與實際生活經驗相結合。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第五課：木蘭詩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能共同討論閱讀的內容，並分享心得。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5-3-8-1能理解作品中對周遭人、事、物的尊重與關懷。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-2能在閱讀過程中，培養參與團體的精神，增進人際互動。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-3能主動記下個人感想及心得，並對作品內容摘要整理。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第六課：森林最優美的一天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266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5-4-2-1能具體陳述個人對文章的思維，表達不同意見。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-2能活用不同閱讀策略，提升學習效果。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5-4-2-4能從閱讀過程中發展系統性思考。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-5能依據文章內容，進行推測、歸納、總結。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第七課：定伯賣鬼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84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5-2-13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能讀懂課文內容，瞭解文章的大意。 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5-2-13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-1能從閱讀中認識國語文的優美。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5-2-13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-2能從閱讀中認識不同文化的特色。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第八課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</w:rPr>
              <w:t xml:space="preserve"> 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(作者介紹+文意提問深究+文章結構分析+延伸閱讀)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能經由觀摩、分享與欣賞，培養良好的寫作態度與興趣。 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-1能在口述作文和筆述作文中，培養豐富的想像力。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-2能相互觀摩作品。</w:t>
            </w:r>
          </w:p>
          <w:p w:rsidR="00DA12BA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-3能經由作品欣賞、朗讀、美讀等方式，培養寫作的興趣。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r w:rsidRPr="00F55769">
              <w:rPr>
                <w:rFonts w:ascii="標楷體" w:eastAsia="標楷體" w:hAnsi="標楷體" w:cs="Times New Roman" w:hint="eastAsia"/>
                <w:szCs w:val="20"/>
              </w:rPr>
              <w:t xml:space="preserve">6-1-4能練習運用各種表達方式習寫作文。 </w:t>
            </w:r>
          </w:p>
          <w:p w:rsidR="00F55769" w:rsidRPr="00EB6EC3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 w:hint="eastAsia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6-1-4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-1能利用卡片寫作，傳達對他人的關心。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語文常識二：提詞柬帖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</w:rPr>
              <w:t xml:space="preserve"> 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5-4-7能主動思考與探索，統整閱讀的內容，並轉化為日常生活解決問題的能力。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-1能共同討論閱讀的內容，交換心得。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-2能統整閱讀的書籍或資料，並養成主動探索研究的能力。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-3能從閱讀中蒐集、整理及分析資料，並依循線索，解決問題。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-4能將閱讀內容，思考轉化為日常生活中解決問題的能力。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第二次段考+考後檢討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（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第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二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次段考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）</w:t>
            </w:r>
          </w:p>
        </w:tc>
      </w:tr>
      <w:tr w:rsidR="00DA12BA" w:rsidRPr="00EB6EC3" w:rsidTr="00C413D5">
        <w:trPr>
          <w:cantSplit/>
          <w:trHeight w:val="660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能配合語言情境，理解字詞和文意間的轉化。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-1能依不同的語言情境，把閱讀獲得的資訊，轉化為溝通分享的材料，正確的表情達意。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C2D56">
              <w:rPr>
                <w:rFonts w:ascii="新細明體" w:hAnsi="新細明體" w:hint="eastAsia"/>
                <w:b/>
                <w:color w:val="00B0F0"/>
                <w:sz w:val="20"/>
                <w:szCs w:val="20"/>
              </w:rPr>
              <w:t>山海交流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能掌握基本的閱讀技巧。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-1能流暢朗讀出文章表達的情感。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-2能理解在閱讀過程中所觀察到的訊息。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-3能從閱讀的材料中，培養分析歸納的能力。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-4學會自己提問，自己回答的方法，幫助自己理解文章的內容。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第九課：為學一首示子姪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403DA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242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5-4-2-1能具體陳述個人對文章的思維，表達不同意見。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-2能活用不同閱讀策略，提升學習效果。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5-4-2-4能從閱讀過程中發展系統性思考。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-5能依據文章內容，進行推測、歸納、總結。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第十一課：空城計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(作者介紹+文章提問探究+生活細節有趣味+文言文延伸閱讀)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84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5-1-1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能熟習常用生字語詞的形音義。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5-1-2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能讀懂課文內容，瞭解文章的大意。 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5-1-2-1能分辨基本的文體。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5-1-2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-2能概略瞭解課文的內容與大意。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第十課：來到部落的文明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403DA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857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  <w:vAlign w:val="center"/>
          </w:tcPr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5-2-13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 xml:space="preserve">能讀懂課文內容，瞭解文章的大意。 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5-2-13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-1能從閱讀中認識國語文的優美。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5-2-13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-2能從閱讀中認識不同文化的特色。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第十二課：科幻極短篇選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 xml:space="preserve">5-4-7能主動思考與探索，統整閱讀的內容，並轉化為日常生活解決問題的能力。 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-1能共同討論閱讀的內容，交換心得。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-2能統整閱讀的書籍或資料，並養成主動探索研究的能力。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-3能從閱讀中蒐集、整理及分析資料，並依循線索，解決問題。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-4能將閱讀內容，思考轉化為日常生活中解決問題的能力。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第三次段考+考後檢討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（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第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三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次段考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）</w:t>
            </w:r>
          </w:p>
        </w:tc>
      </w:tr>
    </w:tbl>
    <w:p w:rsidR="00EB6EC3" w:rsidRPr="00EB6EC3" w:rsidRDefault="00EB6EC3" w:rsidP="00EB6EC3">
      <w:pPr>
        <w:spacing w:line="0" w:lineRule="atLeast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rPr>
          <w:rFonts w:ascii="Baskerville Old Face" w:eastAsia="新細明體" w:hAnsi="Baskerville Old Face" w:cs="Baskerville Old Face"/>
          <w:szCs w:val="24"/>
        </w:rPr>
      </w:pPr>
    </w:p>
    <w:p w:rsidR="0089053F" w:rsidRDefault="0089053F"/>
    <w:sectPr w:rsidR="0089053F" w:rsidSect="00D64470">
      <w:footerReference w:type="even" r:id="rId5"/>
      <w:foot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B1" w:rsidRDefault="00F55769" w:rsidP="00160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FB1" w:rsidRDefault="00F557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B1" w:rsidRDefault="00F55769" w:rsidP="00160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02FB1" w:rsidRDefault="00F5576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3AC"/>
    <w:multiLevelType w:val="multilevel"/>
    <w:tmpl w:val="601EF7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709" w:hanging="567"/>
      </w:pPr>
      <w:rPr>
        <w:rFonts w:hint="eastAsia"/>
        <w:color w:val="auto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567" w:firstLine="709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850"/>
      </w:pPr>
      <w:rPr>
        <w:rFonts w:hint="eastAsia"/>
        <w:lang w:eastAsia="zh-TW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C3"/>
    <w:rsid w:val="001575D4"/>
    <w:rsid w:val="00465261"/>
    <w:rsid w:val="0089053F"/>
    <w:rsid w:val="00946273"/>
    <w:rsid w:val="00BC545A"/>
    <w:rsid w:val="00CD2312"/>
    <w:rsid w:val="00DA12BA"/>
    <w:rsid w:val="00DA6778"/>
    <w:rsid w:val="00E73B06"/>
    <w:rsid w:val="00EB6EC3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8239-A51F-46D0-B874-6AC1E3B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EC3"/>
    <w:pPr>
      <w:tabs>
        <w:tab w:val="center" w:pos="4153"/>
        <w:tab w:val="right" w:pos="8306"/>
      </w:tabs>
      <w:snapToGrid w:val="0"/>
    </w:pPr>
    <w:rPr>
      <w:rFonts w:ascii="Baskerville Old Face" w:eastAsia="新細明體" w:hAnsi="Baskerville Old Face" w:cs="Baskerville Old Face"/>
      <w:sz w:val="20"/>
      <w:szCs w:val="20"/>
    </w:rPr>
  </w:style>
  <w:style w:type="character" w:customStyle="1" w:styleId="a4">
    <w:name w:val="頁尾 字元"/>
    <w:basedOn w:val="a0"/>
    <w:link w:val="a3"/>
    <w:rsid w:val="00EB6EC3"/>
    <w:rPr>
      <w:rFonts w:ascii="Baskerville Old Face" w:eastAsia="新細明體" w:hAnsi="Baskerville Old Face" w:cs="Baskerville Old Face"/>
      <w:sz w:val="20"/>
      <w:szCs w:val="20"/>
    </w:rPr>
  </w:style>
  <w:style w:type="character" w:styleId="a5">
    <w:name w:val="page number"/>
    <w:basedOn w:val="a0"/>
    <w:rsid w:val="00EB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FongShan99</dc:creator>
  <cp:keywords/>
  <dc:description/>
  <cp:lastModifiedBy>FongShan99</cp:lastModifiedBy>
  <cp:revision>8</cp:revision>
  <dcterms:created xsi:type="dcterms:W3CDTF">2019-02-19T01:47:00Z</dcterms:created>
  <dcterms:modified xsi:type="dcterms:W3CDTF">2019-02-19T02:04:00Z</dcterms:modified>
</cp:coreProperties>
</file>